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rPr>
      </w:pPr>
      <w:r>
        <w:rPr>
          <w:rFonts w:hint="eastAsia" w:ascii="黑体" w:hAnsi="黑体" w:eastAsia="黑体" w:cs="黑体"/>
          <w:sz w:val="32"/>
          <w:szCs w:val="32"/>
        </w:rPr>
        <w:t>附件5</w:t>
      </w:r>
    </w:p>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省级学前教育游戏活动实验区创建标准</w:t>
      </w:r>
    </w:p>
    <w:tbl>
      <w:tblPr>
        <w:tblStyle w:val="7"/>
        <w:tblW w:w="15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9"/>
        <w:gridCol w:w="1350"/>
        <w:gridCol w:w="2565"/>
        <w:gridCol w:w="10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269" w:type="dxa"/>
            <w:noWrap w:val="0"/>
            <w:vAlign w:val="center"/>
          </w:tcPr>
          <w:p>
            <w:pPr>
              <w:widowControl/>
              <w:jc w:val="center"/>
              <w:rPr>
                <w:rFonts w:hint="eastAsia" w:ascii="黑体" w:hAnsi="黑体" w:eastAsia="黑体"/>
                <w:color w:val="000000"/>
                <w:kern w:val="0"/>
                <w:sz w:val="24"/>
                <w:lang w:bidi="ar"/>
              </w:rPr>
            </w:pPr>
            <w:r>
              <w:rPr>
                <w:rFonts w:hint="eastAsia" w:ascii="黑体" w:hAnsi="黑体" w:eastAsia="黑体"/>
                <w:color w:val="000000"/>
                <w:kern w:val="0"/>
                <w:sz w:val="24"/>
                <w:lang w:bidi="ar"/>
              </w:rPr>
              <w:t>一级指标</w:t>
            </w:r>
          </w:p>
        </w:tc>
        <w:tc>
          <w:tcPr>
            <w:tcW w:w="1350" w:type="dxa"/>
            <w:noWrap w:val="0"/>
            <w:vAlign w:val="center"/>
          </w:tcPr>
          <w:p>
            <w:pPr>
              <w:widowControl/>
              <w:jc w:val="center"/>
              <w:rPr>
                <w:rFonts w:hint="eastAsia" w:ascii="黑体" w:hAnsi="黑体" w:eastAsia="黑体"/>
                <w:color w:val="000000"/>
                <w:kern w:val="0"/>
                <w:sz w:val="24"/>
                <w:lang w:bidi="ar"/>
              </w:rPr>
            </w:pPr>
            <w:r>
              <w:rPr>
                <w:rFonts w:hint="eastAsia" w:ascii="黑体" w:hAnsi="黑体" w:eastAsia="黑体"/>
                <w:color w:val="000000"/>
                <w:kern w:val="0"/>
                <w:sz w:val="24"/>
                <w:lang w:bidi="ar"/>
              </w:rPr>
              <w:t>二级指标</w:t>
            </w:r>
          </w:p>
        </w:tc>
        <w:tc>
          <w:tcPr>
            <w:tcW w:w="2565" w:type="dxa"/>
            <w:noWrap w:val="0"/>
            <w:vAlign w:val="center"/>
          </w:tcPr>
          <w:p>
            <w:pPr>
              <w:widowControl/>
              <w:jc w:val="center"/>
              <w:rPr>
                <w:rFonts w:hint="eastAsia" w:ascii="黑体" w:hAnsi="黑体" w:eastAsia="黑体"/>
                <w:color w:val="000000"/>
                <w:kern w:val="0"/>
                <w:sz w:val="24"/>
                <w:lang w:bidi="ar"/>
              </w:rPr>
            </w:pPr>
            <w:r>
              <w:rPr>
                <w:rFonts w:hint="eastAsia" w:ascii="黑体" w:hAnsi="黑体" w:eastAsia="黑体"/>
                <w:color w:val="000000"/>
                <w:kern w:val="0"/>
                <w:sz w:val="24"/>
                <w:lang w:bidi="ar"/>
              </w:rPr>
              <w:t>三级指标</w:t>
            </w:r>
          </w:p>
        </w:tc>
        <w:tc>
          <w:tcPr>
            <w:tcW w:w="10365" w:type="dxa"/>
            <w:noWrap w:val="0"/>
            <w:vAlign w:val="center"/>
          </w:tcPr>
          <w:p>
            <w:pPr>
              <w:widowControl/>
              <w:jc w:val="center"/>
              <w:rPr>
                <w:rFonts w:hint="eastAsia" w:ascii="黑体" w:hAnsi="黑体" w:eastAsia="黑体"/>
                <w:color w:val="000000"/>
                <w:kern w:val="0"/>
                <w:sz w:val="24"/>
                <w:lang w:bidi="ar"/>
              </w:rPr>
            </w:pPr>
            <w:r>
              <w:rPr>
                <w:rFonts w:hint="eastAsia" w:ascii="黑体" w:hAnsi="黑体" w:eastAsia="黑体" w:cs="黑体"/>
                <w:color w:val="000000"/>
                <w:kern w:val="0"/>
                <w:sz w:val="24"/>
                <w:szCs w:val="24"/>
                <w:lang w:bidi="ar"/>
              </w:rPr>
              <w:t>考查要点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restart"/>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A1.组织管理（20分）</w:t>
            </w:r>
          </w:p>
        </w:tc>
        <w:tc>
          <w:tcPr>
            <w:tcW w:w="1350" w:type="dxa"/>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B1.教育理念</w:t>
            </w:r>
            <w:r>
              <w:rPr>
                <w:rStyle w:val="11"/>
                <w:rFonts w:hint="eastAsia" w:ascii="仿宋_GB2312" w:hAnsi="仿宋_GB2312" w:eastAsia="仿宋_GB2312"/>
                <w:lang w:bidi="ar"/>
              </w:rPr>
              <w:t>（5分）</w:t>
            </w: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C1.</w:t>
            </w:r>
            <w:r>
              <w:rPr>
                <w:rStyle w:val="11"/>
                <w:rFonts w:hint="eastAsia" w:ascii="仿宋_GB2312" w:hAnsi="仿宋_GB2312" w:eastAsia="仿宋_GB2312"/>
                <w:lang w:bidi="ar"/>
              </w:rPr>
              <w:t>教育理念正确，坚持以游戏为基本活动，珍视生活与游戏的独特教育价值。（5分）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贯彻落实《幼儿园教育指导纲要（试行）》《3—6岁儿童学习与发展指南》《幼儿园保育教育质量评估指南》精神，以游戏为基本活动，树立科学的儿童观、教育观、游戏观、课程观，尊重幼儿游戏的权利。（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2.坚持儿童为本，尊重幼儿的学习方式和学习特点，关注个体差异，充分理解和支持幼儿在游戏中的想法和行为，促进每一名幼儿在原有水平上得到发展。（3分）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vMerge w:val="restart"/>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B2.组织领导</w:t>
            </w:r>
            <w:r>
              <w:rPr>
                <w:rStyle w:val="11"/>
                <w:rFonts w:hint="eastAsia" w:ascii="仿宋_GB2312" w:hAnsi="仿宋_GB2312" w:eastAsia="仿宋_GB2312"/>
                <w:lang w:bidi="ar"/>
              </w:rPr>
              <w:t>（8分）</w:t>
            </w: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C2.组织机构健全，人员职责明确，工作落实到位。</w:t>
            </w:r>
            <w:r>
              <w:rPr>
                <w:rStyle w:val="11"/>
                <w:rFonts w:hint="eastAsia" w:ascii="仿宋_GB2312" w:hAnsi="仿宋_GB2312" w:eastAsia="仿宋_GB2312"/>
                <w:lang w:bidi="ar"/>
              </w:rPr>
              <w:t>（4分）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1.将实验区创建工作纳入重要议事日程，组织机构健全，成立由主要领导或分管领导牵头的领导小组和工作小组，管理到位。（2分）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2.小组成员明确实验区建设目标和任务，统筹协调实验区工作所需人员、经费投入、资源配置，切实推进实验区的建设工作。（2分）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vMerge w:val="continue"/>
            <w:noWrap w:val="0"/>
            <w:vAlign w:val="center"/>
          </w:tcPr>
          <w:p>
            <w:pPr>
              <w:jc w:val="center"/>
              <w:rPr>
                <w:rFonts w:hint="eastAsia" w:ascii="仿宋_GB2312" w:hAnsi="仿宋_GB2312" w:eastAsia="仿宋_GB2312"/>
                <w:color w:val="000000"/>
                <w:sz w:val="24"/>
                <w:szCs w:val="24"/>
              </w:rPr>
            </w:pP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C3.实验方案符合本地区实际，目标任务明确，政策措施具体，成效显著。</w:t>
            </w:r>
            <w:r>
              <w:rPr>
                <w:rStyle w:val="11"/>
                <w:rFonts w:hint="eastAsia" w:ascii="仿宋_GB2312" w:hAnsi="仿宋_GB2312" w:eastAsia="仿宋_GB2312"/>
                <w:lang w:bidi="ar"/>
              </w:rPr>
              <w:t>（4分）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1.实验方案立足区域实际，合理可行，工作思路、年度目标、保障措施、进度安排、责任主体、投入保障、预期成果明确。（2分）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2.严格按照实验方案认真组织实施，并不断总结工作中探索成功的新思路、新机制、新模式，用好经验、好做法带动区域学前教育质量的快速提升。（2分）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B3.督导评估</w:t>
            </w:r>
            <w:r>
              <w:rPr>
                <w:rStyle w:val="11"/>
                <w:rFonts w:hint="eastAsia" w:ascii="仿宋_GB2312" w:hAnsi="仿宋_GB2312" w:eastAsia="仿宋_GB2312"/>
                <w:lang w:bidi="ar"/>
              </w:rPr>
              <w:t>（7分）</w:t>
            </w: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C4.考核督查机制健全，有效推动实验工作开展。</w:t>
            </w:r>
            <w:r>
              <w:rPr>
                <w:rStyle w:val="11"/>
                <w:rFonts w:hint="eastAsia" w:ascii="仿宋_GB2312" w:hAnsi="仿宋_GB2312" w:eastAsia="仿宋_GB2312"/>
                <w:lang w:bidi="ar"/>
              </w:rPr>
              <w:t>（7分）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1.将实验区建设作为重点工作，纳入年度教育工作综合评价，通过定期调度、保教质量评估等加强考核督查，确保实验工作扎实开展。（3分）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2.充分发挥教育督学的职责，开展常态化督导，推动幼儿园以游戏精神贯穿一日生活，促进幼儿身心和谐发展。（2分）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3.探索构建以关注生活，关注游戏，关注教育过程，促进师幼互动，发展幼儿好奇、专注、探究、创造、合作等良好学习品质为导向的幼儿园保育教育质量评估监管体系，定期对区域内游戏活动开展情况进行过程性评估。（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1269" w:type="dxa"/>
            <w:vMerge w:val="restart"/>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A2.条件保障</w:t>
            </w:r>
            <w:r>
              <w:rPr>
                <w:rStyle w:val="11"/>
                <w:rFonts w:hint="eastAsia" w:ascii="仿宋_GB2312" w:hAnsi="仿宋_GB2312" w:eastAsia="仿宋_GB2312"/>
                <w:lang w:bidi="ar"/>
              </w:rPr>
              <w:t>（15分）</w:t>
            </w:r>
          </w:p>
        </w:tc>
        <w:tc>
          <w:tcPr>
            <w:tcW w:w="1350" w:type="dxa"/>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B4.制度保障（5分）</w:t>
            </w:r>
          </w:p>
        </w:tc>
        <w:tc>
          <w:tcPr>
            <w:tcW w:w="2565" w:type="dxa"/>
            <w:noWrap w:val="0"/>
            <w:vAlign w:val="center"/>
          </w:tcPr>
          <w:p>
            <w:pPr>
              <w:widowControl/>
              <w:rPr>
                <w:rStyle w:val="12"/>
                <w:rFonts w:hAnsi="仿宋_GB2312"/>
                <w:lang w:bidi="ar"/>
              </w:rPr>
            </w:pPr>
            <w:r>
              <w:rPr>
                <w:rStyle w:val="10"/>
                <w:rFonts w:ascii="仿宋_GB2312" w:eastAsia="仿宋_GB2312"/>
              </w:rPr>
              <w:t>C5.</w:t>
            </w:r>
            <w:r>
              <w:rPr>
                <w:rStyle w:val="10"/>
                <w:rFonts w:ascii="仿宋_GB2312" w:hAnsi="仿宋_GB2312" w:eastAsia="仿宋_GB2312"/>
                <w:sz w:val="24"/>
                <w:szCs w:val="24"/>
                <w:lang w:bidi="ar"/>
              </w:rPr>
              <w:t>管理制度完善，落实到位。（5分）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1.教研、培训、评估等各项制度健全完善，科学合理。（2分）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2.各项制度落实到位，有过程性材料。（3分）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B5.经费保障（10分）</w:t>
            </w:r>
          </w:p>
        </w:tc>
        <w:tc>
          <w:tcPr>
            <w:tcW w:w="2565" w:type="dxa"/>
            <w:noWrap w:val="0"/>
            <w:vAlign w:val="center"/>
          </w:tcPr>
          <w:p>
            <w:pPr>
              <w:widowControl/>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C6.设立专项经费重点支持实验区各项工作的开展。（10分）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1.有支持游戏活动实验区建设的专项经费，经费拨付及时到位，专款专用。（5分）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2.经费能够满足教师培训、玩具材料及图画书配备、游戏场地改造等多方面的需求。（5分）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1269" w:type="dxa"/>
            <w:vMerge w:val="restart"/>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A3.队伍建设（20分）</w:t>
            </w:r>
          </w:p>
        </w:tc>
        <w:tc>
          <w:tcPr>
            <w:tcW w:w="1350" w:type="dxa"/>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B6.教师培训（10分）</w:t>
            </w: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C7.</w:t>
            </w:r>
            <w:r>
              <w:rPr>
                <w:rStyle w:val="11"/>
                <w:rFonts w:hint="eastAsia" w:ascii="仿宋_GB2312" w:hAnsi="仿宋_GB2312" w:eastAsia="仿宋_GB2312"/>
                <w:lang w:bidi="ar"/>
              </w:rPr>
              <w:t>培养</w:t>
            </w:r>
            <w:r>
              <w:rPr>
                <w:rStyle w:val="10"/>
                <w:rFonts w:ascii="仿宋_GB2312" w:hAnsi="仿宋_GB2312" w:eastAsia="仿宋_GB2312"/>
                <w:sz w:val="24"/>
                <w:szCs w:val="24"/>
                <w:lang w:bidi="ar"/>
              </w:rPr>
              <w:t>培训机制健全，有效提升教师对游戏活动的支持能力。（10分）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1.将幼儿游戏相关理论知识纳入教师继续教育和园长培训、新教师上岗培训等，针对农村地区、薄弱幼儿园的实际需要组织开展专项培训，提升园长、教师的专业素养，定期开展培训。（5分）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2.培训内容针对性强，培训方式灵活多样，培训效果突出。（5分）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3"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vMerge w:val="restart"/>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B7.教研支持（10分）</w:t>
            </w:r>
          </w:p>
        </w:tc>
        <w:tc>
          <w:tcPr>
            <w:tcW w:w="2565" w:type="dxa"/>
            <w:noWrap w:val="0"/>
            <w:vAlign w:val="center"/>
          </w:tcPr>
          <w:p>
            <w:pPr>
              <w:widowControl/>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C8.深化区域教研改革，加强教研队伍建设，提高教研质量。（5分）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1.建设专兼职结合的高素质专业化学前教育教研队伍，县（市、区）至少配备一名学前教育专职教研员。组建由高校专家、教研员、名园长、名师等组成的专业支持团队，加强协同教研。（3分）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2.建立完善区域教研制度、教研指导责任区制度。教研员定期深入幼儿园一线，了解教师专业成长需求，及时研究解决幼儿园在落实以游戏基本活动中存在的困惑和问题。（2分）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5" w:hRule="atLeast"/>
          <w:jc w:val="center"/>
        </w:trPr>
        <w:tc>
          <w:tcPr>
            <w:tcW w:w="1269" w:type="dxa"/>
            <w:vMerge w:val="continue"/>
            <w:noWrap w:val="0"/>
            <w:vAlign w:val="center"/>
          </w:tcPr>
          <w:p>
            <w:pPr>
              <w:jc w:val="center"/>
              <w:rPr>
                <w:rFonts w:hint="eastAsia" w:ascii="仿宋_GB2312" w:hAnsi="仿宋_GB2312" w:eastAsia="仿宋_GB2312"/>
                <w:color w:val="000000"/>
                <w:szCs w:val="21"/>
              </w:rPr>
            </w:pPr>
          </w:p>
        </w:tc>
        <w:tc>
          <w:tcPr>
            <w:tcW w:w="1350" w:type="dxa"/>
            <w:vMerge w:val="continue"/>
            <w:noWrap w:val="0"/>
            <w:vAlign w:val="center"/>
          </w:tcPr>
          <w:p>
            <w:pPr>
              <w:jc w:val="center"/>
              <w:rPr>
                <w:rFonts w:hint="eastAsia" w:ascii="仿宋_GB2312" w:hAnsi="仿宋_GB2312" w:eastAsia="仿宋_GB2312"/>
                <w:color w:val="000000"/>
                <w:szCs w:val="21"/>
              </w:rPr>
            </w:pPr>
          </w:p>
        </w:tc>
        <w:tc>
          <w:tcPr>
            <w:tcW w:w="2565" w:type="dxa"/>
            <w:noWrap w:val="0"/>
            <w:vAlign w:val="center"/>
          </w:tcPr>
          <w:p>
            <w:pPr>
              <w:widowControl/>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C9.强化园本教研，健全园本教研制度，创新教研方式，提升教研实效。（5分）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1.支持有力，指导幼儿园坚持问题导向，以提高教师专业能力为重点，健全园本教研制度，创新教研方式，开展经常性教研活动。（3分）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2.幼儿园能够充分发挥教研组的作用，加强在幼儿学习与发展、落实以游戏为基本活动、家庭教育指导等方面的研究，提高教研活动的针对性和有效性。（2分）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9" w:hRule="atLeast"/>
          <w:jc w:val="center"/>
        </w:trPr>
        <w:tc>
          <w:tcPr>
            <w:tcW w:w="1269" w:type="dxa"/>
            <w:vMerge w:val="restart"/>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A4.游戏活动质量</w:t>
            </w:r>
            <w:r>
              <w:rPr>
                <w:rStyle w:val="11"/>
                <w:rFonts w:hint="eastAsia" w:ascii="仿宋_GB2312" w:hAnsi="仿宋_GB2312" w:eastAsia="仿宋_GB2312"/>
                <w:lang w:bidi="ar"/>
              </w:rPr>
              <w:t>（35分）</w:t>
            </w:r>
          </w:p>
        </w:tc>
        <w:tc>
          <w:tcPr>
            <w:tcW w:w="1350" w:type="dxa"/>
            <w:vMerge w:val="restart"/>
            <w:noWrap w:val="0"/>
            <w:vAlign w:val="center"/>
          </w:tcPr>
          <w:p>
            <w:pPr>
              <w:widowControl/>
              <w:jc w:val="center"/>
              <w:rPr>
                <w:rStyle w:val="10"/>
                <w:rFonts w:ascii="仿宋_GB2312" w:hAnsi="仿宋_GB2312" w:eastAsia="仿宋_GB2312"/>
                <w:sz w:val="24"/>
                <w:szCs w:val="24"/>
                <w:lang w:bidi="ar"/>
              </w:rPr>
            </w:pPr>
            <w:r>
              <w:rPr>
                <w:rStyle w:val="10"/>
                <w:rFonts w:ascii="仿宋_GB2312" w:hAnsi="仿宋_GB2312" w:eastAsia="仿宋_GB2312"/>
                <w:sz w:val="24"/>
                <w:szCs w:val="24"/>
                <w:lang w:bidi="ar"/>
              </w:rPr>
              <w:t>B8.游戏环境</w:t>
            </w:r>
            <w:r>
              <w:rPr>
                <w:rStyle w:val="11"/>
                <w:rFonts w:hint="eastAsia" w:ascii="仿宋_GB2312" w:hAnsi="仿宋_GB2312" w:eastAsia="仿宋_GB2312"/>
                <w:lang w:bidi="ar"/>
              </w:rPr>
              <w:t>（15分）</w:t>
            </w: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C10.幼儿园空间布局合理，设施设备安全环保，满足幼儿生活和游戏需要。</w:t>
            </w:r>
            <w:r>
              <w:rPr>
                <w:rStyle w:val="11"/>
                <w:rFonts w:hint="eastAsia" w:ascii="仿宋_GB2312" w:hAnsi="仿宋_GB2312" w:eastAsia="仿宋_GB2312"/>
                <w:lang w:bidi="ar"/>
              </w:rPr>
              <w:t>（6分）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1.室内外空间布局规划科学合理，游戏环境生态、多元、开放、丰富、富有挑战性，能够最大限度地满足幼儿生活和游戏需要。（3分）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2.各类设施设备安全、环保，符合幼儿的年龄特点，方便幼儿使用和取放，满足幼儿逐步增长的独立活动需要。提供必要的遮阳遮雨设施设备，确保特殊天气条件下幼儿必要的户外活动能正常开展。（3分）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vMerge w:val="continue"/>
            <w:noWrap w:val="0"/>
            <w:vAlign w:val="center"/>
          </w:tcPr>
          <w:p>
            <w:pPr>
              <w:jc w:val="center"/>
              <w:rPr>
                <w:rFonts w:hint="eastAsia" w:ascii="仿宋_GB2312" w:hAnsi="仿宋_GB2312" w:eastAsia="仿宋_GB2312"/>
                <w:color w:val="000000"/>
                <w:sz w:val="24"/>
                <w:szCs w:val="24"/>
              </w:rPr>
            </w:pPr>
          </w:p>
        </w:tc>
        <w:tc>
          <w:tcPr>
            <w:tcW w:w="2565" w:type="dxa"/>
            <w:noWrap w:val="0"/>
            <w:vAlign w:val="center"/>
          </w:tcPr>
          <w:p>
            <w:pPr>
              <w:widowControl/>
              <w:rPr>
                <w:rStyle w:val="10"/>
                <w:rFonts w:ascii="仿宋_GB2312" w:hAnsi="仿宋_GB2312" w:eastAsia="仿宋_GB2312"/>
                <w:sz w:val="24"/>
                <w:szCs w:val="24"/>
                <w:lang w:bidi="ar"/>
              </w:rPr>
            </w:pPr>
            <w:r>
              <w:rPr>
                <w:rStyle w:val="10"/>
                <w:rFonts w:ascii="仿宋_GB2312" w:hAnsi="仿宋_GB2312" w:eastAsia="仿宋_GB2312"/>
                <w:sz w:val="24"/>
                <w:szCs w:val="24"/>
                <w:lang w:bidi="ar"/>
              </w:rPr>
              <w:t>C11.</w:t>
            </w:r>
            <w:r>
              <w:rPr>
                <w:rStyle w:val="10"/>
                <w:rFonts w:ascii="仿宋_GB2312" w:eastAsia="仿宋_GB2312"/>
                <w:sz w:val="24"/>
                <w:szCs w:val="24"/>
              </w:rPr>
              <w:t>玩具材料和图画书</w:t>
            </w:r>
            <w:r>
              <w:rPr>
                <w:rStyle w:val="10"/>
                <w:rFonts w:ascii="仿宋_GB2312" w:hAnsi="仿宋_GB2312" w:eastAsia="仿宋_GB2312"/>
                <w:sz w:val="24"/>
                <w:szCs w:val="24"/>
                <w:lang w:bidi="ar"/>
              </w:rPr>
              <w:t>数量充足、种类丰富，有效支持游戏活动开展。</w:t>
            </w:r>
            <w:r>
              <w:rPr>
                <w:rStyle w:val="10"/>
                <w:rFonts w:hint="default" w:ascii="仿宋_GB2312" w:hAnsi="仿宋_GB2312" w:eastAsia="仿宋_GB2312"/>
                <w:sz w:val="24"/>
                <w:szCs w:val="24"/>
                <w:lang w:bidi="ar"/>
              </w:rPr>
              <w:t>（5分）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1.玩具材料数量充足、种类丰富，以低结构材料为主，能够保证多名幼儿同时游戏的需要。（3分）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2.幼儿园配备的图画书符合幼儿年龄特点和认知水平，注重体现中华优秀传统文化和现代生活特色，富有教育意义，并根据需要及时调整更新。（2分）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3"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vMerge w:val="continue"/>
            <w:noWrap w:val="0"/>
            <w:vAlign w:val="center"/>
          </w:tcPr>
          <w:p>
            <w:pPr>
              <w:jc w:val="center"/>
              <w:rPr>
                <w:rFonts w:hint="eastAsia" w:ascii="仿宋_GB2312" w:hAnsi="仿宋_GB2312" w:eastAsia="仿宋_GB2312"/>
                <w:color w:val="000000"/>
                <w:sz w:val="24"/>
                <w:szCs w:val="24"/>
              </w:rPr>
            </w:pPr>
          </w:p>
        </w:tc>
        <w:tc>
          <w:tcPr>
            <w:tcW w:w="2565" w:type="dxa"/>
            <w:noWrap w:val="0"/>
            <w:vAlign w:val="center"/>
          </w:tcPr>
          <w:p>
            <w:pPr>
              <w:widowControl/>
              <w:rPr>
                <w:rStyle w:val="10"/>
                <w:rFonts w:hint="default" w:ascii="仿宋_GB2312" w:eastAsia="仿宋_GB2312"/>
                <w:sz w:val="24"/>
                <w:szCs w:val="24"/>
              </w:rPr>
            </w:pPr>
            <w:r>
              <w:rPr>
                <w:rStyle w:val="10"/>
                <w:rFonts w:hint="default" w:ascii="仿宋_GB2312" w:eastAsia="仿宋_GB2312"/>
                <w:sz w:val="24"/>
                <w:szCs w:val="24"/>
              </w:rPr>
              <w:t>C12.心</w:t>
            </w:r>
            <w:r>
              <w:rPr>
                <w:rStyle w:val="10"/>
                <w:rFonts w:ascii="仿宋_GB2312" w:eastAsia="仿宋_GB2312"/>
                <w:sz w:val="24"/>
                <w:lang w:bidi="ar"/>
              </w:rPr>
              <w:t>理环境安全温馨，</w:t>
            </w:r>
            <w:r>
              <w:rPr>
                <w:rStyle w:val="10"/>
                <w:rFonts w:hint="default" w:ascii="仿宋_GB2312" w:hAnsi="仿宋_GB2312" w:eastAsia="仿宋_GB2312" w:cs="仿宋_GB2312"/>
                <w:sz w:val="24"/>
                <w:szCs w:val="24"/>
                <w:lang w:bidi="ar"/>
              </w:rPr>
              <w:t>班级氛围宽松和谐，师幼、幼幼间能充分开展互动交流。</w:t>
            </w:r>
            <w:r>
              <w:rPr>
                <w:rStyle w:val="10"/>
                <w:rFonts w:ascii="仿宋_GB2312" w:eastAsia="仿宋_GB2312"/>
                <w:sz w:val="24"/>
                <w:lang w:bidi="ar"/>
              </w:rPr>
              <w:t>（4分）</w:t>
            </w:r>
          </w:p>
        </w:tc>
        <w:tc>
          <w:tcPr>
            <w:tcW w:w="10365" w:type="dxa"/>
            <w:noWrap w:val="0"/>
            <w:vAlign w:val="center"/>
          </w:tcPr>
          <w:p>
            <w:pPr>
              <w:widowControl/>
              <w:rPr>
                <w:rStyle w:val="10"/>
                <w:rFonts w:hint="default" w:ascii="仿宋_GB2312" w:eastAsia="仿宋_GB2312"/>
                <w:sz w:val="24"/>
                <w:szCs w:val="24"/>
              </w:rPr>
            </w:pPr>
            <w:r>
              <w:rPr>
                <w:rStyle w:val="10"/>
                <w:rFonts w:hint="default" w:ascii="仿宋_GB2312" w:eastAsia="仿宋_GB2312"/>
                <w:sz w:val="24"/>
                <w:szCs w:val="24"/>
              </w:rPr>
              <w:t>1.教师能够创设宽松和谐的班级氛围，保持积极乐观愉快的情绪状态，以亲切和蔼、支持性的态度和行为与幼儿互动，平等对待每一名幼儿。（2分）</w:t>
            </w:r>
            <w:r>
              <w:rPr>
                <w:rStyle w:val="10"/>
                <w:rFonts w:hint="default" w:ascii="仿宋_GB2312" w:eastAsia="仿宋_GB2312"/>
                <w:sz w:val="24"/>
                <w:szCs w:val="24"/>
              </w:rPr>
              <w:br w:type="textWrapping"/>
            </w:r>
            <w:r>
              <w:rPr>
                <w:rStyle w:val="10"/>
                <w:rFonts w:hint="default" w:ascii="仿宋_GB2312" w:eastAsia="仿宋_GB2312"/>
                <w:sz w:val="24"/>
                <w:szCs w:val="24"/>
              </w:rPr>
              <w:t>2.幼儿在一日活动中情绪愉悦、从容自信，能与同伴友好相处，能放心大胆地表达真实情绪和不同观点，能按照自己的兴趣、节奏和方式进行游戏（2分）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jc w:val="center"/>
        </w:trPr>
        <w:tc>
          <w:tcPr>
            <w:tcW w:w="1269" w:type="dxa"/>
            <w:vMerge w:val="restart"/>
            <w:noWrap w:val="0"/>
            <w:vAlign w:val="center"/>
          </w:tcPr>
          <w:p>
            <w:pPr>
              <w:jc w:val="center"/>
              <w:rPr>
                <w:rFonts w:hint="eastAsia" w:ascii="仿宋_GB2312" w:hAnsi="仿宋_GB2312" w:eastAsia="仿宋_GB2312"/>
                <w:color w:val="000000"/>
                <w:szCs w:val="21"/>
              </w:rPr>
            </w:pPr>
            <w:r>
              <w:rPr>
                <w:rStyle w:val="10"/>
                <w:rFonts w:ascii="仿宋_GB2312" w:hAnsi="仿宋_GB2312" w:eastAsia="仿宋_GB2312"/>
                <w:sz w:val="24"/>
                <w:szCs w:val="24"/>
                <w:lang w:bidi="ar"/>
              </w:rPr>
              <w:t>A4.游戏活动质量</w:t>
            </w:r>
            <w:r>
              <w:rPr>
                <w:rStyle w:val="11"/>
                <w:rFonts w:hint="eastAsia" w:ascii="仿宋_GB2312" w:hAnsi="仿宋_GB2312" w:eastAsia="仿宋_GB2312"/>
                <w:lang w:bidi="ar"/>
              </w:rPr>
              <w:t>（35分）</w:t>
            </w:r>
          </w:p>
        </w:tc>
        <w:tc>
          <w:tcPr>
            <w:tcW w:w="1350" w:type="dxa"/>
            <w:vMerge w:val="restart"/>
            <w:noWrap w:val="0"/>
            <w:vAlign w:val="center"/>
          </w:tcPr>
          <w:p>
            <w:pPr>
              <w:widowControl/>
              <w:jc w:val="left"/>
              <w:rPr>
                <w:rStyle w:val="10"/>
                <w:rFonts w:ascii="仿宋_GB2312" w:hAnsi="仿宋_GB2312" w:eastAsia="仿宋_GB2312"/>
                <w:sz w:val="24"/>
                <w:szCs w:val="24"/>
                <w:lang w:bidi="ar"/>
              </w:rPr>
            </w:pPr>
            <w:r>
              <w:rPr>
                <w:rStyle w:val="10"/>
                <w:rFonts w:ascii="仿宋_GB2312" w:hAnsi="仿宋_GB2312" w:eastAsia="仿宋_GB2312"/>
                <w:sz w:val="24"/>
                <w:szCs w:val="24"/>
                <w:lang w:bidi="ar"/>
              </w:rPr>
              <w:t>B9.活动组织</w:t>
            </w:r>
            <w:r>
              <w:rPr>
                <w:rStyle w:val="10"/>
                <w:rFonts w:hint="default" w:ascii="仿宋_GB2312" w:hAnsi="仿宋_GB2312" w:eastAsia="仿宋_GB2312"/>
                <w:sz w:val="24"/>
                <w:szCs w:val="24"/>
                <w:lang w:bidi="ar"/>
              </w:rPr>
              <w:t>（14分）</w:t>
            </w:r>
          </w:p>
        </w:tc>
        <w:tc>
          <w:tcPr>
            <w:tcW w:w="2565" w:type="dxa"/>
            <w:noWrap w:val="0"/>
            <w:vAlign w:val="center"/>
          </w:tcPr>
          <w:p>
            <w:pPr>
              <w:widowControl/>
              <w:rPr>
                <w:rStyle w:val="10"/>
                <w:rFonts w:hint="default" w:ascii="仿宋_GB2312" w:eastAsia="仿宋_GB2312"/>
                <w:sz w:val="24"/>
                <w:szCs w:val="24"/>
              </w:rPr>
            </w:pPr>
            <w:r>
              <w:rPr>
                <w:rStyle w:val="10"/>
                <w:rFonts w:hint="default" w:ascii="仿宋_GB2312" w:eastAsia="仿宋_GB2312"/>
                <w:sz w:val="24"/>
                <w:szCs w:val="24"/>
              </w:rPr>
              <w:t>C13.幼儿园保教计划科学合理、切实可行。（4分）</w:t>
            </w:r>
          </w:p>
        </w:tc>
        <w:tc>
          <w:tcPr>
            <w:tcW w:w="10365" w:type="dxa"/>
            <w:noWrap w:val="0"/>
            <w:vAlign w:val="center"/>
          </w:tcPr>
          <w:p>
            <w:pPr>
              <w:widowControl/>
              <w:rPr>
                <w:rStyle w:val="10"/>
                <w:rFonts w:hint="default"/>
                <w:sz w:val="24"/>
                <w:szCs w:val="24"/>
              </w:rPr>
            </w:pPr>
            <w:r>
              <w:rPr>
                <w:rStyle w:val="10"/>
                <w:rFonts w:hint="default" w:ascii="仿宋_GB2312" w:hAnsi="仿宋_GB2312" w:eastAsia="仿宋_GB2312" w:cs="仿宋_GB2312"/>
                <w:sz w:val="24"/>
                <w:szCs w:val="24"/>
              </w:rPr>
              <w:t>1.结合本园、班实际，每学期、每周制定科学合理的班级保教计划，符合《幼儿园教育指导纲要》《3—6岁儿童学习与发展指南》要求，计划之间体现内在关联性，操作性强。（2分）</w:t>
            </w:r>
            <w:r>
              <w:rPr>
                <w:rStyle w:val="10"/>
                <w:rFonts w:hint="default" w:ascii="仿宋_GB2312" w:hAnsi="仿宋_GB2312" w:eastAsia="仿宋_GB2312" w:cs="仿宋_GB2312"/>
                <w:sz w:val="24"/>
                <w:szCs w:val="24"/>
              </w:rPr>
              <w:br w:type="textWrapping"/>
            </w:r>
            <w:r>
              <w:rPr>
                <w:rStyle w:val="10"/>
                <w:rFonts w:hint="default" w:ascii="仿宋_GB2312" w:hAnsi="仿宋_GB2312" w:eastAsia="仿宋_GB2312" w:cs="仿宋_GB2312"/>
                <w:sz w:val="24"/>
                <w:szCs w:val="24"/>
              </w:rPr>
              <w:t>2.计划实施过程中能根据班级和幼儿实际等进行调整与完善。（2分）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jc w:val="center"/>
        </w:trPr>
        <w:tc>
          <w:tcPr>
            <w:tcW w:w="1269" w:type="dxa"/>
            <w:vMerge w:val="continue"/>
            <w:noWrap w:val="0"/>
            <w:vAlign w:val="center"/>
          </w:tcPr>
          <w:p>
            <w:pPr>
              <w:jc w:val="center"/>
              <w:rPr>
                <w:rFonts w:hint="eastAsia" w:ascii="仿宋_GB2312" w:hAnsi="仿宋_GB2312" w:eastAsia="仿宋_GB2312"/>
                <w:color w:val="000000"/>
                <w:szCs w:val="21"/>
              </w:rPr>
            </w:pPr>
          </w:p>
        </w:tc>
        <w:tc>
          <w:tcPr>
            <w:tcW w:w="1350" w:type="dxa"/>
            <w:vMerge w:val="continue"/>
            <w:noWrap w:val="0"/>
            <w:vAlign w:val="center"/>
          </w:tcPr>
          <w:p>
            <w:pPr>
              <w:widowControl/>
              <w:jc w:val="left"/>
              <w:rPr>
                <w:rStyle w:val="10"/>
                <w:rFonts w:hint="default"/>
                <w:sz w:val="24"/>
                <w:szCs w:val="24"/>
                <w:lang w:bidi="ar"/>
              </w:rPr>
            </w:pPr>
          </w:p>
        </w:tc>
        <w:tc>
          <w:tcPr>
            <w:tcW w:w="2565" w:type="dxa"/>
            <w:noWrap w:val="0"/>
            <w:vAlign w:val="center"/>
          </w:tcPr>
          <w:p>
            <w:pPr>
              <w:widowControl/>
              <w:rPr>
                <w:rStyle w:val="10"/>
                <w:rFonts w:hint="default"/>
                <w:sz w:val="24"/>
                <w:szCs w:val="24"/>
              </w:rPr>
            </w:pPr>
            <w:r>
              <w:rPr>
                <w:rStyle w:val="10"/>
                <w:rFonts w:hint="default" w:ascii="仿宋_GB2312" w:hAnsi="仿宋_GB2312" w:eastAsia="仿宋_GB2312" w:cs="仿宋_GB2312"/>
                <w:sz w:val="24"/>
                <w:szCs w:val="24"/>
              </w:rPr>
              <w:t>C14.一日活动安排相对稳定合理，游戏时间充足。（4分）</w:t>
            </w:r>
          </w:p>
        </w:tc>
        <w:tc>
          <w:tcPr>
            <w:tcW w:w="10365" w:type="dxa"/>
            <w:noWrap w:val="0"/>
            <w:vAlign w:val="center"/>
          </w:tcPr>
          <w:p>
            <w:pPr>
              <w:widowControl/>
              <w:rPr>
                <w:rStyle w:val="10"/>
                <w:rFonts w:hint="default"/>
                <w:sz w:val="24"/>
                <w:szCs w:val="24"/>
              </w:rPr>
            </w:pPr>
            <w:r>
              <w:rPr>
                <w:rStyle w:val="10"/>
                <w:rFonts w:hint="default" w:ascii="仿宋_GB2312" w:hAnsi="仿宋_GB2312" w:eastAsia="仿宋_GB2312" w:cs="仿宋_GB2312"/>
                <w:sz w:val="24"/>
                <w:szCs w:val="24"/>
              </w:rPr>
              <w:t>1.一日活动安排有相对的稳定性，能满足幼儿各类活动的需要，避免时间安排碎片化和各环节频繁转换，避免幼儿消极等待。（2分）</w:t>
            </w:r>
            <w:r>
              <w:rPr>
                <w:rStyle w:val="10"/>
                <w:rFonts w:hint="default" w:ascii="仿宋_GB2312" w:hAnsi="仿宋_GB2312" w:eastAsia="仿宋_GB2312" w:cs="仿宋_GB2312"/>
                <w:sz w:val="24"/>
                <w:szCs w:val="24"/>
              </w:rPr>
              <w:br w:type="textWrapping"/>
            </w:r>
            <w:r>
              <w:rPr>
                <w:rStyle w:val="10"/>
                <w:rFonts w:hint="default" w:ascii="仿宋_GB2312" w:hAnsi="仿宋_GB2312" w:eastAsia="仿宋_GB2312" w:cs="仿宋_GB2312"/>
                <w:sz w:val="24"/>
                <w:szCs w:val="24"/>
              </w:rPr>
              <w:t>2.游戏活动时间充足，确保每天至少有1个小时的自主游戏时间，其中至少有1次机会可以连续进行45分钟以上的自主游戏。（2分）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1" w:hRule="atLeast"/>
          <w:jc w:val="center"/>
        </w:trPr>
        <w:tc>
          <w:tcPr>
            <w:tcW w:w="1269" w:type="dxa"/>
            <w:vMerge w:val="continue"/>
            <w:noWrap w:val="0"/>
            <w:vAlign w:val="center"/>
          </w:tcPr>
          <w:p>
            <w:pPr>
              <w:jc w:val="center"/>
              <w:rPr>
                <w:rFonts w:hint="eastAsia" w:ascii="仿宋_GB2312" w:hAnsi="仿宋_GB2312" w:eastAsia="仿宋_GB2312"/>
                <w:color w:val="000000"/>
                <w:szCs w:val="21"/>
              </w:rPr>
            </w:pPr>
          </w:p>
        </w:tc>
        <w:tc>
          <w:tcPr>
            <w:tcW w:w="1350" w:type="dxa"/>
            <w:vMerge w:val="continue"/>
            <w:noWrap w:val="0"/>
            <w:vAlign w:val="center"/>
          </w:tcPr>
          <w:p>
            <w:pPr>
              <w:jc w:val="center"/>
              <w:rPr>
                <w:rFonts w:hint="eastAsia" w:ascii="仿宋_GB2312" w:hAnsi="仿宋_GB2312" w:eastAsia="仿宋_GB2312"/>
                <w:color w:val="000000"/>
                <w:szCs w:val="21"/>
              </w:rPr>
            </w:pPr>
          </w:p>
        </w:tc>
        <w:tc>
          <w:tcPr>
            <w:tcW w:w="2565" w:type="dxa"/>
            <w:noWrap w:val="0"/>
            <w:vAlign w:val="center"/>
          </w:tcPr>
          <w:p>
            <w:pPr>
              <w:widowControl/>
              <w:rPr>
                <w:rStyle w:val="10"/>
                <w:rFonts w:hint="default" w:ascii="仿宋_GB2312" w:eastAsia="仿宋_GB2312"/>
                <w:sz w:val="24"/>
                <w:szCs w:val="24"/>
                <w:lang w:bidi="ar"/>
              </w:rPr>
            </w:pPr>
            <w:r>
              <w:rPr>
                <w:rStyle w:val="10"/>
                <w:rFonts w:ascii="仿宋_GB2312" w:hAnsi="仿宋_GB2312" w:eastAsia="仿宋_GB2312" w:cs="仿宋_GB2312"/>
                <w:sz w:val="24"/>
                <w:szCs w:val="24"/>
                <w:lang w:bidi="ar"/>
              </w:rPr>
              <w:t>C15.关注幼儿学习与发展的整体性与连续性，发现和支持幼儿有意义的学习。（6分）</w:t>
            </w:r>
          </w:p>
        </w:tc>
        <w:tc>
          <w:tcPr>
            <w:tcW w:w="10365" w:type="dxa"/>
            <w:noWrap w:val="0"/>
            <w:vAlign w:val="center"/>
          </w:tcPr>
          <w:p>
            <w:pPr>
              <w:widowControl/>
              <w:rPr>
                <w:rStyle w:val="10"/>
                <w:rFonts w:hint="default"/>
                <w:sz w:val="24"/>
                <w:szCs w:val="24"/>
              </w:rPr>
            </w:pPr>
            <w:r>
              <w:rPr>
                <w:rStyle w:val="11"/>
                <w:rFonts w:hint="eastAsia" w:ascii="仿宋_GB2312" w:hAnsi="仿宋_GB2312" w:eastAsia="仿宋_GB2312"/>
                <w:lang w:bidi="ar"/>
              </w:rPr>
              <w:t>1.关注幼儿学习与发展的整体性与连续性，促进幼儿智力和非智力因素协调发展，寓教育于生活和游戏中。（2分）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2.尊重幼儿主体性、差异性，能在观察、分析、理解幼儿表现与需求的基础上，通过提供丰富适宜的材料、角色参与、指导帮助等多种方式支持幼儿探究、试错、重复等行为。（2分）</w:t>
            </w:r>
            <w:r>
              <w:rPr>
                <w:rStyle w:val="11"/>
                <w:rFonts w:hint="eastAsia" w:ascii="仿宋_GB2312" w:hAnsi="仿宋_GB2312" w:eastAsia="仿宋_GB2312"/>
                <w:lang w:bidi="ar"/>
              </w:rPr>
              <w:br w:type="textWrapping"/>
            </w:r>
            <w:r>
              <w:rPr>
                <w:rStyle w:val="11"/>
                <w:rFonts w:hint="eastAsia" w:ascii="仿宋_GB2312" w:hAnsi="仿宋_GB2312" w:eastAsia="仿宋_GB2312"/>
                <w:lang w:bidi="ar"/>
              </w:rPr>
              <w:t>3.发现和支持幼儿有意义的学习，采用小组或集体的形式讨论幼儿感兴趣的话题，引导幼儿通过表征、实际操作等多种方式进行游戏分享，鼓励幼儿表达自己的观点，提出问题、分析解决问题，梳理、拓展和提升幼儿日常生活和游戏中的经验。（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8" w:hRule="atLeast"/>
          <w:jc w:val="center"/>
        </w:trPr>
        <w:tc>
          <w:tcPr>
            <w:tcW w:w="1269" w:type="dxa"/>
            <w:vMerge w:val="continue"/>
            <w:noWrap w:val="0"/>
            <w:vAlign w:val="center"/>
          </w:tcPr>
          <w:p>
            <w:pPr>
              <w:jc w:val="center"/>
              <w:rPr>
                <w:rFonts w:hint="eastAsia" w:ascii="仿宋_GB2312" w:hAnsi="仿宋_GB2312" w:eastAsia="仿宋_GB2312"/>
                <w:color w:val="000000"/>
                <w:szCs w:val="21"/>
              </w:rPr>
            </w:pPr>
          </w:p>
        </w:tc>
        <w:tc>
          <w:tcPr>
            <w:tcW w:w="1350" w:type="dxa"/>
            <w:noWrap w:val="0"/>
            <w:vAlign w:val="center"/>
          </w:tcPr>
          <w:p>
            <w:pPr>
              <w:widowControl/>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B10.课程建设（6分）</w:t>
            </w:r>
          </w:p>
        </w:tc>
        <w:tc>
          <w:tcPr>
            <w:tcW w:w="2565" w:type="dxa"/>
            <w:noWrap w:val="0"/>
            <w:vAlign w:val="center"/>
          </w:tcPr>
          <w:p>
            <w:pPr>
              <w:widowControl/>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C16.基于游戏为基本活动的课程体系逐步建立。（6分）</w:t>
            </w:r>
          </w:p>
        </w:tc>
        <w:tc>
          <w:tcPr>
            <w:tcW w:w="10365" w:type="dxa"/>
            <w:noWrap w:val="0"/>
            <w:vAlign w:val="center"/>
          </w:tcPr>
          <w:p>
            <w:pPr>
              <w:widowControl/>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1.将自由、自主、创造、愉悦的游戏精神渗透于幼儿园的一日生活各个环节，凸显课程的过程性、探究性、趣味性、启蒙性。（2分）</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2.遵循幼儿的经验、兴趣和发展需要，逐步减少预设课程，适当增加生成课程。（2分）</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3.激发和保护幼儿的好奇心、想象力、创造力，关注幼儿学习品质培养，逐步形成基于幼儿兴趣与经验、鼓励幼儿探究与创造、发展幼儿表现与表达的课程体系。（2分）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jc w:val="center"/>
        </w:trPr>
        <w:tc>
          <w:tcPr>
            <w:tcW w:w="1269" w:type="dxa"/>
            <w:vMerge w:val="restart"/>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A5.示范引领（10分）</w:t>
            </w:r>
          </w:p>
        </w:tc>
        <w:tc>
          <w:tcPr>
            <w:tcW w:w="1350" w:type="dxa"/>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B11.成果成效（5分）</w:t>
            </w:r>
          </w:p>
        </w:tc>
        <w:tc>
          <w:tcPr>
            <w:tcW w:w="2565" w:type="dxa"/>
            <w:noWrap w:val="0"/>
            <w:vAlign w:val="center"/>
          </w:tcPr>
          <w:p>
            <w:pPr>
              <w:widowControl/>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C17.本区域研究成果丰硕，实验成效显著。（5分）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结合本区域实际开展游戏活动研究，有一定数量的以游戏为主题的市级及以上课题，有一定数量的游戏案例获得省市级奖励，一定数量的文章在报刊、杂志上发表，有质量较高的经验总结在市级及以上会议交流并在一定范围内推广应用。（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1269" w:type="dxa"/>
            <w:vMerge w:val="continue"/>
            <w:noWrap w:val="0"/>
            <w:vAlign w:val="center"/>
          </w:tcPr>
          <w:p>
            <w:pPr>
              <w:jc w:val="center"/>
              <w:rPr>
                <w:rFonts w:hint="eastAsia" w:ascii="仿宋_GB2312" w:hAnsi="仿宋_GB2312" w:eastAsia="仿宋_GB2312"/>
                <w:color w:val="000000"/>
                <w:sz w:val="24"/>
                <w:szCs w:val="24"/>
              </w:rPr>
            </w:pPr>
          </w:p>
        </w:tc>
        <w:tc>
          <w:tcPr>
            <w:tcW w:w="1350" w:type="dxa"/>
            <w:noWrap w:val="0"/>
            <w:vAlign w:val="center"/>
          </w:tcPr>
          <w:p>
            <w:pPr>
              <w:widowControl/>
              <w:jc w:val="center"/>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B12.辐射带动（5分）</w:t>
            </w:r>
          </w:p>
        </w:tc>
        <w:tc>
          <w:tcPr>
            <w:tcW w:w="2565" w:type="dxa"/>
            <w:noWrap w:val="0"/>
            <w:vAlign w:val="center"/>
          </w:tcPr>
          <w:p>
            <w:pPr>
              <w:widowControl/>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C18.结对帮扶工作扎实开展，有效推动区域学前教育优质均衡发展。（5分）</w:t>
            </w:r>
          </w:p>
        </w:tc>
        <w:tc>
          <w:tcPr>
            <w:tcW w:w="10365" w:type="dxa"/>
            <w:noWrap w:val="0"/>
            <w:vAlign w:val="center"/>
          </w:tcPr>
          <w:p>
            <w:pPr>
              <w:widowControl/>
              <w:rPr>
                <w:rStyle w:val="11"/>
                <w:rFonts w:hint="eastAsia" w:ascii="仿宋_GB2312" w:hAnsi="仿宋_GB2312" w:eastAsia="仿宋_GB2312"/>
                <w:lang w:bidi="ar"/>
              </w:rPr>
            </w:pPr>
            <w:r>
              <w:rPr>
                <w:rStyle w:val="11"/>
                <w:rFonts w:hint="eastAsia" w:ascii="仿宋_GB2312" w:hAnsi="仿宋_GB2312" w:eastAsia="仿宋_GB2312"/>
                <w:lang w:bidi="ar"/>
              </w:rPr>
              <w:t>通过城乡联动、园际联合、送教助研、挂职锻炼、跟岗学习等方式，帮扶本区域乡村幼儿园和薄弱幼儿园，以强带弱，推动区域保教质量和游戏质量整体提升，促进区域学前教育优质均衡发展。（5分）</w:t>
            </w:r>
          </w:p>
        </w:tc>
      </w:tr>
    </w:tbl>
    <w:p>
      <w:pPr>
        <w:rPr>
          <w:rFonts w:hint="eastAsia" w:ascii="黑体" w:hAnsi="黑体" w:eastAsia="黑体" w:cs="黑体"/>
          <w:sz w:val="32"/>
          <w:szCs w:val="32"/>
        </w:rPr>
      </w:pPr>
    </w:p>
    <w:p>
      <w:pPr>
        <w:rPr>
          <w:rFonts w:hint="eastAsia" w:ascii="黑体" w:hAnsi="黑体" w:eastAsia="黑体" w:cs="黑体"/>
          <w:sz w:val="32"/>
          <w:szCs w:val="32"/>
        </w:rPr>
      </w:pPr>
      <w:bookmarkStart w:id="0" w:name="_GoBack"/>
      <w:bookmarkEnd w:id="0"/>
    </w:p>
    <w:p>
      <w:pPr>
        <w:rPr>
          <w:rFonts w:hint="eastAsia" w:ascii="方正小标宋_GBK" w:hAnsi="方正小标宋_GBK" w:eastAsia="方正小标宋_GBK" w:cs="方正小标宋_GBK"/>
          <w:color w:val="000000"/>
          <w:sz w:val="44"/>
        </w:rPr>
      </w:pPr>
    </w:p>
    <w:sectPr>
      <w:footerReference r:id="rId5" w:type="first"/>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00"/>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18</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210" w:leftChars="100" w:right="210" w:rightChars="10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E1AED"/>
    <w:rsid w:val="000102C3"/>
    <w:rsid w:val="00091282"/>
    <w:rsid w:val="000D1704"/>
    <w:rsid w:val="000F6019"/>
    <w:rsid w:val="001331E3"/>
    <w:rsid w:val="001414E6"/>
    <w:rsid w:val="00150F26"/>
    <w:rsid w:val="00167D58"/>
    <w:rsid w:val="001A1AD1"/>
    <w:rsid w:val="001B3585"/>
    <w:rsid w:val="001F444B"/>
    <w:rsid w:val="002675B8"/>
    <w:rsid w:val="00295935"/>
    <w:rsid w:val="0032220F"/>
    <w:rsid w:val="003340EC"/>
    <w:rsid w:val="00360658"/>
    <w:rsid w:val="003751E7"/>
    <w:rsid w:val="003F186A"/>
    <w:rsid w:val="0040787C"/>
    <w:rsid w:val="004255E8"/>
    <w:rsid w:val="004575BE"/>
    <w:rsid w:val="00461822"/>
    <w:rsid w:val="004B0A45"/>
    <w:rsid w:val="004D73FC"/>
    <w:rsid w:val="004F3958"/>
    <w:rsid w:val="004F7B85"/>
    <w:rsid w:val="0050349A"/>
    <w:rsid w:val="0052423E"/>
    <w:rsid w:val="00544492"/>
    <w:rsid w:val="00556BBC"/>
    <w:rsid w:val="00584E26"/>
    <w:rsid w:val="00585162"/>
    <w:rsid w:val="005A16A3"/>
    <w:rsid w:val="005A25FA"/>
    <w:rsid w:val="005C41F8"/>
    <w:rsid w:val="00666697"/>
    <w:rsid w:val="006833BA"/>
    <w:rsid w:val="006B5CE2"/>
    <w:rsid w:val="006C2E79"/>
    <w:rsid w:val="006C2FB5"/>
    <w:rsid w:val="0071780E"/>
    <w:rsid w:val="00726544"/>
    <w:rsid w:val="007E30A8"/>
    <w:rsid w:val="0081034F"/>
    <w:rsid w:val="008A5A73"/>
    <w:rsid w:val="00905158"/>
    <w:rsid w:val="009102BE"/>
    <w:rsid w:val="00957444"/>
    <w:rsid w:val="00985EEB"/>
    <w:rsid w:val="009B2EAC"/>
    <w:rsid w:val="009C7207"/>
    <w:rsid w:val="009D186D"/>
    <w:rsid w:val="00A31DCE"/>
    <w:rsid w:val="00A55E34"/>
    <w:rsid w:val="00A925CA"/>
    <w:rsid w:val="00AB0B58"/>
    <w:rsid w:val="00AB0DE0"/>
    <w:rsid w:val="00AC6124"/>
    <w:rsid w:val="00AE28A8"/>
    <w:rsid w:val="00B60FB2"/>
    <w:rsid w:val="00B6591F"/>
    <w:rsid w:val="00B6715F"/>
    <w:rsid w:val="00B83F06"/>
    <w:rsid w:val="00B86524"/>
    <w:rsid w:val="00C446A0"/>
    <w:rsid w:val="00CE0CA6"/>
    <w:rsid w:val="00CF149C"/>
    <w:rsid w:val="00D020AE"/>
    <w:rsid w:val="00D9315B"/>
    <w:rsid w:val="00DF4B5E"/>
    <w:rsid w:val="00E1604F"/>
    <w:rsid w:val="00E53C59"/>
    <w:rsid w:val="00E635A2"/>
    <w:rsid w:val="00E80D7A"/>
    <w:rsid w:val="00EA46A6"/>
    <w:rsid w:val="00EC6D84"/>
    <w:rsid w:val="00EE16D6"/>
    <w:rsid w:val="00F55CD2"/>
    <w:rsid w:val="00F74267"/>
    <w:rsid w:val="00F74392"/>
    <w:rsid w:val="00FA30E9"/>
    <w:rsid w:val="00FA5E8E"/>
    <w:rsid w:val="01853218"/>
    <w:rsid w:val="07D66E44"/>
    <w:rsid w:val="0E44681E"/>
    <w:rsid w:val="173A42B9"/>
    <w:rsid w:val="2E665EAE"/>
    <w:rsid w:val="30D01440"/>
    <w:rsid w:val="367D4C50"/>
    <w:rsid w:val="4AE247BB"/>
    <w:rsid w:val="536A79AF"/>
    <w:rsid w:val="60644AE0"/>
    <w:rsid w:val="66FE1AED"/>
    <w:rsid w:val="6CC84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sz w:val="32"/>
      <w:szCs w:val="20"/>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font31"/>
    <w:qFormat/>
    <w:uiPriority w:val="0"/>
    <w:rPr>
      <w:rFonts w:hint="eastAsia" w:ascii="宋体" w:hAnsi="宋体" w:eastAsia="宋体" w:cs="宋体"/>
      <w:color w:val="000000"/>
      <w:sz w:val="22"/>
      <w:szCs w:val="22"/>
      <w:u w:val="none"/>
    </w:rPr>
  </w:style>
  <w:style w:type="character" w:customStyle="1" w:styleId="11">
    <w:name w:val="font71"/>
    <w:qFormat/>
    <w:uiPriority w:val="0"/>
    <w:rPr>
      <w:rFonts w:ascii="Times New Roman" w:hAnsi="Times New Roman" w:eastAsia="宋体"/>
      <w:color w:val="000000"/>
      <w:sz w:val="24"/>
      <w:szCs w:val="24"/>
      <w:u w:val="none"/>
    </w:rPr>
  </w:style>
  <w:style w:type="character" w:customStyle="1" w:styleId="12">
    <w:name w:val="font51"/>
    <w:qFormat/>
    <w:uiPriority w:val="0"/>
    <w:rPr>
      <w:rFonts w:hint="default" w:ascii="方正仿宋_GB2312" w:hAnsi="方正仿宋_GB2312" w:eastAsia="方正仿宋_GB2312" w:cs="方正仿宋_GB2312"/>
      <w:color w:val="000000"/>
      <w:sz w:val="24"/>
      <w:szCs w:val="24"/>
      <w:u w:val="none"/>
    </w:rPr>
  </w:style>
  <w:style w:type="paragraph" w:customStyle="1" w:styleId="13">
    <w:name w:val="批注文字1"/>
    <w:basedOn w:val="1"/>
    <w:qFormat/>
    <w:uiPriority w:val="0"/>
    <w:pPr>
      <w:jc w:val="left"/>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12308;&#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鲁教X函〔〕号.dot</Template>
  <Pages>5</Pages>
  <Words>3148</Words>
  <Characters>3281</Characters>
  <Lines>1</Lines>
  <Paragraphs>1</Paragraphs>
  <TotalTime>2</TotalTime>
  <ScaleCrop>false</ScaleCrop>
  <LinksUpToDate>false</LinksUpToDate>
  <CharactersWithSpaces>3281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2024-05-11T01:11:00Z</dcterms:created>
  <dc:creator>文印1</dc:creator>
  <cp:lastModifiedBy>玖號 </cp:lastModifiedBy>
  <dcterms:modified xsi:type="dcterms:W3CDTF">2024-05-13T06:12:06Z</dcterms:modified>
  <dc:title>山东省教育厅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24D600CF5EDF4D6F99601EFC5D80D21E</vt:lpwstr>
  </property>
</Properties>
</file>