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44"/>
          <w:szCs w:val="44"/>
        </w:rPr>
      </w:pPr>
      <w:r>
        <w:rPr>
          <w:rFonts w:hint="eastAsia" w:ascii="黑体" w:hAnsi="黑体" w:eastAsia="黑体" w:cs="黑体"/>
          <w:sz w:val="32"/>
          <w:szCs w:val="32"/>
        </w:rPr>
        <w:t>附件4</w:t>
      </w: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山东省幼儿园</w:t>
      </w:r>
      <w:r>
        <w:rPr>
          <w:rFonts w:hint="eastAsia" w:ascii="方正小标宋简体" w:hAnsi="宋体" w:eastAsia="方正小标宋简体" w:cs="宋体"/>
          <w:sz w:val="44"/>
          <w:szCs w:val="44"/>
        </w:rPr>
        <w:t>保育教育质量自评指导手册</w:t>
      </w:r>
      <w:r>
        <w:rPr>
          <w:rFonts w:hint="eastAsia" w:ascii="方正小标宋简体" w:hAnsi="方正小标宋简体" w:eastAsia="方正小标宋简体" w:cs="方正小标宋简体"/>
          <w:color w:val="000000"/>
          <w:sz w:val="44"/>
          <w:szCs w:val="44"/>
        </w:rPr>
        <w:t>（试行）</w:t>
      </w:r>
    </w:p>
    <w:p>
      <w:pPr>
        <w:pStyle w:val="2"/>
        <w:ind w:firstLine="640"/>
        <w:rPr>
          <w:rFonts w:hint="eastAsia"/>
        </w:rPr>
      </w:pPr>
    </w:p>
    <w:tbl>
      <w:tblPr>
        <w:tblStyle w:val="7"/>
        <w:tblW w:w="15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91"/>
        <w:gridCol w:w="2523"/>
        <w:gridCol w:w="7000"/>
        <w:gridCol w:w="311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blHeader/>
          <w:jc w:val="center"/>
        </w:trPr>
        <w:tc>
          <w:tcPr>
            <w:tcW w:w="1137" w:type="dxa"/>
            <w:noWrap w:val="0"/>
            <w:vAlign w:val="center"/>
          </w:tcPr>
          <w:p>
            <w:pPr>
              <w:widowControl/>
              <w:jc w:val="center"/>
              <w:rPr>
                <w:rFonts w:ascii="黑体" w:hAnsi="黑体" w:eastAsia="黑体" w:cs="宋体"/>
                <w:kern w:val="0"/>
                <w:sz w:val="24"/>
              </w:rPr>
            </w:pPr>
            <w:r>
              <w:rPr>
                <w:rFonts w:hint="eastAsia" w:ascii="黑体" w:hAnsi="黑体" w:eastAsia="黑体" w:cs="宋体"/>
                <w:kern w:val="0"/>
                <w:sz w:val="24"/>
              </w:rPr>
              <w:t>评估</w:t>
            </w:r>
          </w:p>
          <w:p>
            <w:pPr>
              <w:widowControl/>
              <w:jc w:val="center"/>
              <w:rPr>
                <w:rFonts w:hint="eastAsia" w:ascii="黑体" w:hAnsi="黑体" w:eastAsia="黑体" w:cs="宋体"/>
                <w:kern w:val="0"/>
                <w:sz w:val="24"/>
              </w:rPr>
            </w:pPr>
            <w:r>
              <w:rPr>
                <w:rFonts w:hint="eastAsia" w:ascii="黑体" w:hAnsi="黑体" w:eastAsia="黑体" w:cs="宋体"/>
                <w:kern w:val="0"/>
                <w:sz w:val="24"/>
              </w:rPr>
              <w:t>重点</w:t>
            </w:r>
          </w:p>
        </w:tc>
        <w:tc>
          <w:tcPr>
            <w:tcW w:w="991" w:type="dxa"/>
            <w:noWrap w:val="0"/>
            <w:vAlign w:val="center"/>
          </w:tcPr>
          <w:p>
            <w:pPr>
              <w:widowControl/>
              <w:jc w:val="center"/>
              <w:rPr>
                <w:rFonts w:ascii="黑体" w:hAnsi="黑体" w:eastAsia="黑体" w:cs="宋体"/>
                <w:kern w:val="0"/>
                <w:sz w:val="24"/>
              </w:rPr>
            </w:pPr>
            <w:r>
              <w:rPr>
                <w:rFonts w:hint="eastAsia" w:ascii="黑体" w:hAnsi="黑体" w:eastAsia="黑体" w:cs="宋体"/>
                <w:kern w:val="0"/>
                <w:sz w:val="24"/>
              </w:rPr>
              <w:t>评估</w:t>
            </w:r>
          </w:p>
          <w:p>
            <w:pPr>
              <w:widowControl/>
              <w:jc w:val="center"/>
              <w:rPr>
                <w:rFonts w:hint="eastAsia" w:ascii="黑体" w:hAnsi="黑体" w:eastAsia="黑体" w:cs="宋体"/>
                <w:kern w:val="0"/>
                <w:sz w:val="24"/>
              </w:rPr>
            </w:pPr>
            <w:r>
              <w:rPr>
                <w:rFonts w:hint="eastAsia" w:ascii="黑体" w:hAnsi="黑体" w:eastAsia="黑体" w:cs="宋体"/>
                <w:kern w:val="0"/>
                <w:sz w:val="24"/>
              </w:rPr>
              <w:t>指标</w:t>
            </w:r>
          </w:p>
        </w:tc>
        <w:tc>
          <w:tcPr>
            <w:tcW w:w="2523" w:type="dxa"/>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评估要点</w:t>
            </w:r>
          </w:p>
        </w:tc>
        <w:tc>
          <w:tcPr>
            <w:tcW w:w="7000" w:type="dxa"/>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评估内容及计分办法</w:t>
            </w:r>
          </w:p>
        </w:tc>
        <w:tc>
          <w:tcPr>
            <w:tcW w:w="3118" w:type="dxa"/>
            <w:noWrap/>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评估方法</w:t>
            </w:r>
          </w:p>
        </w:tc>
        <w:tc>
          <w:tcPr>
            <w:tcW w:w="747" w:type="dxa"/>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评估得分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1" w:hRule="atLeast"/>
          <w:jc w:val="center"/>
        </w:trPr>
        <w:tc>
          <w:tcPr>
            <w:tcW w:w="1137"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A1.办园方向</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（150分）</w:t>
            </w:r>
          </w:p>
        </w:tc>
        <w:tc>
          <w:tcPr>
            <w:tcW w:w="991"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B1.党建工作</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xml:space="preserve">C1.健全党组织对幼儿园工作领导的制度机制，以政治建设为统领，加强幼儿园领导班子建设，推进党的工作与保育教育工作紧密融合。（20分）               </w:t>
            </w:r>
          </w:p>
        </w:tc>
        <w:tc>
          <w:tcPr>
            <w:tcW w:w="7000" w:type="dxa"/>
            <w:noWrap w:val="0"/>
            <w:vAlign w:val="center"/>
          </w:tcPr>
          <w:p>
            <w:pPr>
              <w:widowControl/>
              <w:tabs>
                <w:tab w:val="left" w:pos="312"/>
              </w:tabs>
              <w:rPr>
                <w:rFonts w:hint="eastAsia" w:ascii="仿宋_GB2312" w:hAnsi="宋体" w:eastAsia="仿宋_GB2312" w:cs="宋体"/>
                <w:kern w:val="0"/>
                <w:sz w:val="24"/>
              </w:rPr>
            </w:pPr>
            <w:r>
              <w:rPr>
                <w:rFonts w:hint="eastAsia" w:ascii="仿宋_GB2312" w:hAnsi="宋体" w:eastAsia="仿宋_GB2312" w:cs="宋体"/>
                <w:kern w:val="0"/>
                <w:sz w:val="24"/>
                <w:lang w:eastAsia="zh"/>
              </w:rPr>
              <w:t>1.</w:t>
            </w:r>
            <w:r>
              <w:rPr>
                <w:rFonts w:hint="eastAsia" w:ascii="仿宋_GB2312" w:hAnsi="宋体" w:eastAsia="仿宋_GB2312" w:cs="宋体"/>
                <w:kern w:val="0"/>
                <w:sz w:val="24"/>
              </w:rPr>
              <w:t xml:space="preserve">党组织领导作用发挥充分，切实履行把方向、管大局、作决策、抓班子、带队伍、保落实的领导职责。落实党组织领导的园长负责制。（5分）                                 </w:t>
            </w:r>
          </w:p>
          <w:p>
            <w:pPr>
              <w:widowControl/>
              <w:rPr>
                <w:rFonts w:hint="eastAsia" w:ascii="仿宋_GB2312" w:hAnsi="宋体" w:eastAsia="仿宋_GB2312" w:cs="宋体"/>
                <w:kern w:val="0"/>
                <w:sz w:val="24"/>
              </w:rPr>
            </w:pPr>
            <w:r>
              <w:rPr>
                <w:rFonts w:hint="eastAsia" w:ascii="仿宋_GB2312" w:hAnsi="宋体" w:eastAsia="仿宋_GB2312" w:cs="宋体"/>
                <w:kern w:val="0"/>
                <w:sz w:val="24"/>
              </w:rPr>
              <w:t>2.议事决策制度健全，科学决策、民主决策、依法决策，“三重一大”事项提交党组织会议研究。（5分）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3.领导班子坚强有力，培养选拔、教育培训、考核评价、激励保障机制完善，经常性开展学习培训，强化理论武装，提高履职能力。（5分）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4.将党建工作纳入重要议事日程，与保育教育工作同研究、同部署、同考核。深入推进党建、业务深度融合，以高质量党建推动保育教育工作高质量发展。（5分）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1.听取汇报：幼儿园整体情况、议事决策规则执行情况、党建工作推动保教工作的情况等。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2.查阅档案：党组织会议纪要（记录），党建工作计划、总结及过程性材料，“三重一大”实施细则等相关制度文件。</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3.教职工访谈：领导班子思想水平、履职能力、教师培训学习情况等。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A1.办园方向</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（150分）</w:t>
            </w:r>
          </w:p>
        </w:tc>
        <w:tc>
          <w:tcPr>
            <w:tcW w:w="991"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B1.党建工作</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（60分）</w:t>
            </w:r>
          </w:p>
        </w:tc>
        <w:tc>
          <w:tcPr>
            <w:tcW w:w="2523" w:type="dxa"/>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C2.落实幼儿园党的组织和党的工作全覆盖，加强教师思想政治工作，落实党风廉政建设责任制和意识形态工作责任制，坚持党建带团建，充分发挥工会、共青团等群团组织的作用。（20分）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xml:space="preserve">5.幼儿园党的组织和党的工作实现全覆盖，3名以上党员的设立独立党组织，不足3人的建立联合党组织或挂靠乡镇（街道）、村（社区）党组织，没有党员的配备一名专兼职党建指导员。（3分）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6.教师思想政治工作措施有力，“三会一课”制度健全，计划详实，教育形式灵活多样，学习效果明显。（5分）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7.党风廉政建设责任制度健全，廉政风险点梳理到位，廉政教育活动措施有效。党内监督机制完善、工作到位，无违纪党员。配强党组织纪检干部，加强基层党风廉政建设。（5分）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8.意识形态责任制度落实到位，对网络传播平台、讲座、论坛等意识形态阵地管理规范。未发生意识形态领域问题。（5分）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9.坚持党建带团建，共青团和工会组织健全，能充分发挥职能。（2分）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1.听取汇报：党组织建设情况，共青团、工会建设情况等。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三会一课”开展情况及佐证材料，党员政治学习记录本，党风廉政建设制度，廉政风险点排查防控制度、意识形态工作责任制实施办法，教职工“无犯罪证明”、教职工代表大会制度及开展情况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5"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C3.坚持社会主义办园方向，积极研究制定幼儿园发展规划和年度工作计划。（20分）</w:t>
            </w:r>
          </w:p>
        </w:tc>
        <w:tc>
          <w:tcPr>
            <w:tcW w:w="7000" w:type="dxa"/>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10.办园方向正确，坚持为党育人、为国育才。办园理念先进，办园思想端正，办园章程规范，办园行为符合国家和省以及当地教育行政部门的要求。（8分）                                                                    11.幼儿园中长期发展规划符合本园实际，体现科学性、发展性、前瞻性和操作性，能促进幼儿园可持续发展。（6分）                                                                                                                                                                   12.年度工作计划详实，目标明确、措施得力；各项工作有检查、记录、总结，有反思改进策略及成效。（6分）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1.查阅档案：幼儿园章程、办园理念相关材料、三年规划、年度工作计划等。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2.教职工访谈：对幼儿园办园理念及发展规划的认识等。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A1.办园方向</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（150分）</w:t>
            </w: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B2.品德启蒙</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（50分）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4.全面贯彻党的教育方针，落实立德树人根本任务，坚持保育教育结合，将培育和践行社会主义核心价值观融入保育教育全过程，注重从小做起、从点滴做起，为培养德智体美劳全面发展的社会主义建设者和接班人奠基。（25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13.落实立德树人根本任务，将品德启蒙教育纳入幼儿园中长期发展规划和年度工作计划，制定符合本园及幼儿实际的全环境立德树人工作方案。（7分）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14.将理想信念教育、社会主义核心价值观教育、中华优秀传统文化教育、生态文明教育、心理健康教育、行为习惯养成教育等品德启蒙教育内容融入保育教育全过程。（9分）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15.树立全员育人思想，坚持党政同责，成立以书记、园长为第一责任人的育人领导小组，制定专任教师、保育员、后勤人员育人责任清单，明确岗位育人职责，落实育人成效。（9分）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1.班级观察：环境创设、师幼关系、幼儿情绪状态、行为表现等。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2.查阅档案：立德树人工作方案、全员育人责任清单以及班级课程计划、课程案例等。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3.教职工访谈：专任教师、保育员、后勤人员的育人责任落实情况等。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6"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5.注重幼儿良好品德和行为习惯养成，潜移默化贯穿于一日生活和各项活动，创设温暖、关爱、平等的集体生活氛围，建立积极和谐的同伴关系；帮助幼儿学会生活，养成自己的事情自己做的习惯，培育幼儿爱父母长辈、爱老师同伴、爱集体、爱家乡、爱党爱国的情感。（25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16.把品德启蒙教育渗透于幼儿一日生活的各个环节，坚持生活活动自然融入，抓住入园离园、盥洗如厕、饮水进餐、午睡起床等关键环节，培育幼儿良好品德和生活、卫生、行为习惯，逐步提高其自理能力。（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17.坚持游戏活动有机渗透，挖掘游戏内容育人元素，捕捉游戏过程育人契机。（7分）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18.坚持主题活动系统引导，通过开展五大领域活动、节日纪念日活动、仪式教育活动、地方性特色文化活动等，培育幼儿爱父母长辈、爱老师同伴、爱集体、爱家乡、爱党爱国的情感。（7分）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19.建立良好的师幼关系和同伴关系，营造良好的班级育人文化氛围，用尊重、接纳的态度与幼儿交流，鼓励幼儿大胆地表达自己的想法，能和同伴友好相处，乐于结交新朋友。（4分）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2"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A1.办园方向</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（150分）</w:t>
            </w: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B3.科学理念</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C6.遵循幼儿身心发展规律和学前教育规律，尊重幼儿个体差异，坚持以游戏为基本活动，珍视生活和游戏的独特教育价值。（20分）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20.落实《3—6岁儿童学习与发展指南》，注重幼儿学习与发展的整体性和连续性，教育内容要从幼儿经验、兴趣出发。（6分）                                                                                  21.坚持儿童为本，尊重个体差异，因材施教，倡导个性发展，促进每一名幼儿在原有水平上得到发展。（7分）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22.坚持以游戏为基本活动，创设丰富的教育环境，合理安排一日生活，引导幼儿在生活和游戏中快乐地动手动脑、感知体验、交往合作、探索创造。（7分）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1.班级观察：环境创设，各类活动的组织情况等。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2.查阅档案：班级周计划、月计划或主题计划、一日活动安排表、活动方案和课程案例、儿童成长档案等。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1"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7.充分尊重和保护幼儿的好奇心和探究兴趣，相信每一个幼儿都是积极主动、有能力的学习者，最大限度地支持和满足幼儿通过直接感知、实际操作和亲身体验获取经验的需要。不提前教授小学阶段的课程内容，不搞不切实际的特色课程。（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23.树立科学的儿童观、教育观、课程观，引导教师更新教育观念，尊重幼儿的学习方式和学习特点，注重保护幼儿的好奇心和主动性，接纳、鼓励幼儿对新鲜事物的观察、提问等探索行为，尊重幼儿的学习方式和学习特点。（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24.对照山东省《幼儿园“小学化”负面清单》，避免和纠正教育内容、教育方式、教育环境、管理方式等“小学化”倾向和问题。（7分）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25.不片面追求办园特色，不开设不切实际的特色课程。（5分）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0" w:hRule="atLeast"/>
          <w:jc w:val="center"/>
        </w:trPr>
        <w:tc>
          <w:tcPr>
            <w:tcW w:w="1137"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A2.保育与安全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（200分）</w:t>
            </w: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B4.卫生保健</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C8.膳食营养、卫生消毒、疾病预防、健康检查等工作制度和岗位职责健全，并认真抓好落实。（20分）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xml:space="preserve">26.有健全的膳食营养、卫生消毒、疾病预防、健康检查等方面的工作制度与岗位职责并落实到位。（8分）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27.教职工按要求到符合标准且在卫生行政部门备案的医疗保健机构进行体格检查，体格检查合格者方可上岗，查体率达100%。（6分）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28.入园幼儿按要求到卫生行政部门备案的医疗保健机构进行体格检查，入园查体率100%；在园幼儿每年进行体格检查，查体率100%。每半年测身高、体重、视力不少于1次。（6分）</w:t>
            </w:r>
          </w:p>
        </w:tc>
        <w:tc>
          <w:tcPr>
            <w:tcW w:w="3118" w:type="dxa"/>
            <w:vMerge w:val="restart"/>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1.查阅档案：各项制度、工作计划、记录表、幼儿体检记录及分析报告等。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2.实地查看：幼儿个人卫生用品、消毒设施设备、流水洗手设施以及炊事人员、保健人员工作情况等。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3.教职工访谈：相关人员对有关制度和流程的熟悉情况。</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C9.科学制定带量食谱，确保幼儿膳食营养均衡，引导幼儿养成良好饮食习惯。</w:t>
            </w:r>
          </w:p>
          <w:p>
            <w:pPr>
              <w:widowControl/>
              <w:rPr>
                <w:rFonts w:hint="eastAsia" w:ascii="仿宋_GB2312" w:hAnsi="宋体" w:eastAsia="仿宋_GB2312" w:cs="宋体"/>
                <w:kern w:val="0"/>
                <w:sz w:val="24"/>
              </w:rPr>
            </w:pPr>
            <w:r>
              <w:rPr>
                <w:rFonts w:hint="eastAsia" w:ascii="仿宋_GB2312" w:hAnsi="宋体" w:eastAsia="仿宋_GB2312" w:cs="宋体"/>
                <w:kern w:val="0"/>
                <w:sz w:val="24"/>
              </w:rPr>
              <w:t>（15分）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29.制定符合幼儿年龄特点的带量食谱，幼儿膳食符合营养学要求，品种多样，搭配合理。（6分）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30.有家长代表参加的膳食委员会，每学期至少召开一次会议并有计划、有记录。每季度至少进行一次膳食调查，保证各种营养素需求。有条件的幼儿园应为有特殊需求的幼儿提供相应的膳食指导和食谱。（4分）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31.开展光盘行动，引导幼儿自主、按需取餐，安静用餐，不挑食、不浪费，爱惜粮食，培养幼儿养成健康饮食和文明进餐习惯。（5分）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C10.教职工具有传染病防控常识，认真落实传染病报告制度，具备快速应对和防控处置能力。（15分）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xml:space="preserve">32.定期对教职工开展传染病防控常识培训，有相关预案并定期进行演练，教职工具备快速应对和防控处置的能力。（10分）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33.建立传染病报告制度，明确报告流程，确保按规定第一时间报送相关部门。（5分）</w:t>
            </w:r>
          </w:p>
        </w:tc>
        <w:tc>
          <w:tcPr>
            <w:tcW w:w="3118" w:type="dxa"/>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1.查阅档案：相关制度、培训计划、预案、通知以及记录表、照片、总结、演练材料等。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2.教职工访谈：对传染病防控常识、报告流程等的熟悉情况。</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5"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A2.保育与安全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（200分）</w:t>
            </w:r>
          </w:p>
        </w:tc>
        <w:tc>
          <w:tcPr>
            <w:tcW w:w="991"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B4.卫生保健</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C11.按资质要求配备专（兼）职卫生保健人员，认真做好幼儿膳食指导、晨午检和健康观察、疾病预防、幼儿生长发育监测等工作。（20分）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34.卫生保健人员具有大专及以上学历，上岗前按规定接受专业培训，合格后方能上岗，培训率100%。已取得培训合格证的卫生保健人员按要求定期接受继续教育培训，培训率及合格率100%。（6分）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35.卫生保健人员岗位职责落实到位，制定常见疾病预防制度与方案，定期对幼儿开展口腔保健，加强幼儿视力保健和近视防控，严格执行晨午检及全日观察等各项制度。（7分）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36.按要求开展幼儿生长发育监测，有幼儿体检分析报告及改进措施，并对家长进行反馈和指导。（7分）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1.查阅档案：相关制度、保健人员名单、资质证书、培训证明、晨午检记录、幼儿成长发育检测资料以及对家长反馈的记录等。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2.教职工、家长访谈：卫生保健人员岗位落实情况，对家长的反馈与指导情况等。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B5.生活照料</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C12.帮助幼儿建立合理生活常规，引导幼儿根据需要自主饮水、盥洗、如厕、增减衣物、调整睡姿等，养成良好的生活卫生习惯。（15分）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37.通过创设环境、开展教育活动等帮助幼儿建立良好的生活常规。（7分）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38.为幼儿提供自我服务的机会，引导幼儿根据需要自主饮水、盥洗、如厕、增减衣物、调整睡姿，并提供适宜的回应与支持，助推幼儿养成良好的生活卫生习惯。（8分）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1.班级观察：环境创设、幼儿生活活动情况等。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2.查阅档案：相关教育活动记录、观察记录等。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3.教职工、幼儿访谈：了解幼儿生活活动情况以及习惯养成情况。</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7"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C13.指导幼儿进行餐前准备、餐后清洁、图画书与玩具整理等自我服务，引导幼儿养成劳动习惯，增强环保意识、集体责任感。（20分）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39.根据幼儿年龄特点，制定大中小班幼儿劳动教育清单。（8分）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40.培养幼儿形成初步的劳动意识和劳动习惯，指导幼儿积极参与餐前准备、餐后清洁、图画书与玩具整理等，做到自己的事情自己做，并能为班级和他人做力所能及的事，形成初步的集体责任感。（6分）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41.增强幼儿的环保意识，指导幼儿能进行初步的垃圾分类、爱惜粮食、爱惜图书玩具等物品，形成勤俭节约的良好品质。（6分）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1.班级观察：环境创设、幼儿行为表现、教师指导情况等。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2.查阅档案：劳动教育清单，保教计划、活动方案、措施等资料。</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A2.保育与安全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（200分）</w:t>
            </w: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B5.生活照料</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C14.制定并实施与幼儿身体发展相适应的体格锻炼计划，保证每天户外活动时间不少于2小时，体育活动时间不少于1小时。（15分）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42.落实幼儿体格锻炼制度，制定与幼儿身体发展相适应的体格锻炼计划并有效实施。（8分）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43.幼儿园一日作息时间安排科学合理，保证每天户外活动时间不少于2小时，其中，体育活动时间不少于1小时。（7分）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1.查阅档案：幼儿园一日活动安排表（作息表）、体格锻炼制度、计划及实施情况等。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2.实地查看：活动场地、材料、幼儿活动情况。</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C15.重视有特殊需要的幼儿，尽可能创造条件让幼儿参与班级的各项活动，同时给予必要的照料。根据需要及时与家长沟通，帮助幼儿获得专业的康复指导与治疗。（20分）</w:t>
            </w:r>
          </w:p>
        </w:tc>
        <w:tc>
          <w:tcPr>
            <w:tcW w:w="7000" w:type="dxa"/>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44.关注每一个有特殊需要的幼儿，建立特殊需要幼儿档案，制定切实可行的个别化指导计划。创造条件让幼儿参与班级的各项活动，同时给予必要的照料。（8分）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45.树立融合教育理念，开展随园保教工作，残疾幼儿5人以上的要建设特殊教育资源教室，配备专兼职资源教师，对残疾幼儿开展有针对性的教育与康复服务。（6分）                                                                                                46.建立通畅的家长沟通机制，及时反馈幼儿在园表现，帮助幼儿获得专业的康复指导和治疗。（6分）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xml:space="preserve">1.查阅档案：特殊需要幼儿档案、家长沟通反馈记录、个性化的必要照料等资料。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2.班级观察：特殊幼儿一日活动开展情况。</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2"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B6.安全防护</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C16.认真落实幼儿园各项安全管理制度和措施，每学期开学前分析研判潜在的安全风险，有针对性地完善安全管理措施。（20分）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47.成立安全工作领导小组，分工明确，责任到人，层层签订安全目标责任书，落实“一岗双责”安全工作要求。（7分）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48.有健全的安全管理制度、安全预警机制和各类突发事件的应急预案，并落实到位。（7分）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49.定期开展安全风险研判和隐患排查，整改到位，做到闭环管理。（6分）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1.查阅档案：相关制度、预案、演练资料、安全责任书、安全风险评估资料、培训资料、日常检查维护记录表、安全教育计划、安全专题教育活动资料等。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2.实地查看：设施设备的安全风险情况，安全风险点防范措施落实情况。</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3.教职工访谈：了解对幼儿园各项安全管理制度、预案等熟悉情况。</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4.幼儿访谈：了解安全教育内化情况、自我保护常识掌握情况等。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5.家长调查：了解幼儿园安全教育活动落实情况与安全教育家园合作情况。</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A2.保育与安全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（200分）</w:t>
            </w:r>
          </w:p>
        </w:tc>
        <w:tc>
          <w:tcPr>
            <w:tcW w:w="991"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B6.安全防护</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（60分）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C17.保教人员具有安全保护意识，做好环境、设施设备、玩具材料等方面的日常检查维护，及时消除安全隐患。发生意外时，优先保护幼儿的安全。（20分）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50.有保教人员安全培训方案，定期开展安全教育、幼儿常见突发事故和突发疾病等应急处置技能的培训，提高安全意识和救护能力。（7分）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51.有设施设备、玩具材料的日常检查维护制度和方案，并有专人负责、有记录，落实到位。（7分）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52.意外伤害发生后，保教人员应当优先保护幼儿安全，并处理得当，记录规范。（6分）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3"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C18.幼儿园切实把安全教育融入幼儿一日生活，帮助幼儿学习判断环境、设施设备和玩具材料可能出现的安全风险，增强安全防范意识，提高自我保护能力。（20分）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53.制定安全教育计划，将安全教育融入幼儿一日生活中，以多种方式对幼儿进行安全教育，提高幼儿自我保护意识和能力。（7分）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54.定期开展防溺水、防火、防震、防触电等安全专题教育活动，方法科学，符合幼儿年龄特点和能力水平并取得实效。（7分）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55.坚持开展1530安全教育，引导幼儿掌握必要的自我保护方法。（6分）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1137"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A3.教育过程</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（400分）</w:t>
            </w:r>
          </w:p>
        </w:tc>
        <w:tc>
          <w:tcPr>
            <w:tcW w:w="991"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B7.活动组织</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（140分）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C19.认真按照《幼儿园教育指导纲要》《3—6岁儿童学习与发展指南》要求，结合本园、班实际，每学期、每周制定科学合理的班级保教计划。（20分）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56.有班级学期计划、月计划、周计划以及具体活动方案，计划之间体现内在关联性，操作性强。（7分）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57.计划符合《幼儿园教育指导纲要》《3—6岁儿童学习与发展指南》要求，能够反映本园和班级的实际。（6分）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58.计划实施过程中能根据班级和幼儿实际等进行调整与完善。（7分）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1.查阅档案：班级学期计划、月计划（主题计划）、周计划、幼儿园一日活动安排表（作息表）及教师备课记录、反思记录等。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2.班级观察：活动计划开展情况。</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A3.教育过程</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（400分）</w:t>
            </w:r>
          </w:p>
        </w:tc>
        <w:tc>
          <w:tcPr>
            <w:tcW w:w="991"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B7.活动组织</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C20.一日活动安排相对稳定合理，并能根据幼儿的年龄特点、个体差异和活动需要做出灵活调整，避免活动安排频繁转换、幼儿消极等待。（20分）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59.一日活动安排有相对的稳定性，能满足幼儿各类活动的需要，避免时间安排碎片化和各环节频繁转换。（7分）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60.保证幼儿有自由、自主的活动时间，并根据季节变化、幼儿兴趣、经验以及幼儿发展的个体差异灵活调整。（7分）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61.活动组织形式灵活多样，减少不必要的集体活动和过渡环节，避免幼儿消极等待。（6分）</w:t>
            </w:r>
          </w:p>
        </w:tc>
        <w:tc>
          <w:tcPr>
            <w:tcW w:w="3118" w:type="dxa"/>
            <w:vMerge w:val="continue"/>
            <w:noWrap w:val="0"/>
            <w:vAlign w:val="center"/>
          </w:tcPr>
          <w:p>
            <w:pPr>
              <w:widowControl/>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C21.以游戏为基本活动，确保幼儿每天有充分的自主游戏时间，因地制宜为幼儿创设游戏环境，提供丰富适宜的游戏材料，支持幼儿探究、试错、重复等行为，与幼儿一起分享游戏经验。（25分）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62.游戏活动时间充足，每天至少有1个小时的自主游戏时间。（4分）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63.因地制宜设置游戏区域，创设自然、生态、童趣、富有挑战、能够促进幼儿深度学习与发展的游戏环境，体现儿童性、教育性，具有地方化、多元化和立体化。（3分）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64.游戏活动材料数量充足、种类丰富，能满足各类游戏需要，并能随着幼儿游戏的进展不断丰富和调整。能充分利用自然资源开展游戏和活动。（4分）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65.教师能通过提供适宜的材料、角色参与、指导帮助等多种方式支持幼儿探究、试错、重复等行为。（7分）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66.能根据需要引导幼儿通过表征、小组讨论、实际操作等多种方式进行游戏分享，梳理提升幼儿经验。（7分）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1.班级观察：幼儿自主游戏情况、教师教学活动组织情况等。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2.查阅档案：教师观察记录、课程案例等。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3.教师、幼儿访谈：了解幼儿游戏情况、幼儿在游戏中的发展情况以及教师支持情况等。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6"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A3.教育过程</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（400分）</w:t>
            </w:r>
          </w:p>
        </w:tc>
        <w:tc>
          <w:tcPr>
            <w:tcW w:w="991"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B7.活动组织</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（140分）</w:t>
            </w:r>
          </w:p>
        </w:tc>
        <w:tc>
          <w:tcPr>
            <w:tcW w:w="2523" w:type="dxa"/>
            <w:noWrap w:val="0"/>
            <w:vAlign w:val="center"/>
          </w:tcPr>
          <w:p>
            <w:pPr>
              <w:widowControl/>
              <w:spacing w:line="240" w:lineRule="exact"/>
              <w:rPr>
                <w:rFonts w:hint="eastAsia" w:ascii="仿宋_GB2312" w:hAnsi="宋体" w:eastAsia="仿宋_GB2312" w:cs="宋体"/>
                <w:kern w:val="0"/>
                <w:sz w:val="24"/>
              </w:rPr>
            </w:pPr>
            <w:r>
              <w:rPr>
                <w:rFonts w:hint="eastAsia" w:ascii="仿宋_GB2312" w:hAnsi="宋体" w:eastAsia="仿宋_GB2312" w:cs="宋体"/>
                <w:kern w:val="0"/>
                <w:sz w:val="24"/>
              </w:rPr>
              <w:t>C22.发现和支持幼儿有意义的学习，采用小组或集体的形式讨论幼儿感兴趣的话题，鼓励幼儿表达自己的观点，提出问题、分析解决问题，拓展提升幼儿日常生活和游戏中的经验。（25分）</w:t>
            </w:r>
          </w:p>
        </w:tc>
        <w:tc>
          <w:tcPr>
            <w:tcW w:w="7000" w:type="dxa"/>
            <w:noWrap w:val="0"/>
            <w:vAlign w:val="center"/>
          </w:tcPr>
          <w:p>
            <w:pPr>
              <w:widowControl/>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67.能在基于观察、分析、理解幼儿表现与需求的基础上，捕捉、发现幼儿有意义的学习，灵活调整教学活动、游戏活动内容和安排，支持幼儿深入探究和学习。（8分）                                                                                       68.能灵活运用集体或小组的形式，有目的地组织讨论幼儿感兴趣的话题，提高幼儿发现问题、分析问题、解决问题的能力。（9分）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69.活动过程中，能尊重幼儿主体性，提供更多的操作探索、交流合作、表达表现的机会，提升幼儿日常生活和游戏中的经验。（8分）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40" w:lineRule="exact"/>
              <w:rPr>
                <w:rFonts w:hint="eastAsia" w:ascii="仿宋_GB2312" w:hAnsi="宋体" w:eastAsia="仿宋_GB2312" w:cs="宋体"/>
                <w:kern w:val="0"/>
                <w:sz w:val="24"/>
              </w:rPr>
            </w:pPr>
            <w:r>
              <w:rPr>
                <w:rFonts w:hint="eastAsia" w:ascii="仿宋_GB2312" w:hAnsi="宋体" w:eastAsia="仿宋_GB2312" w:cs="宋体"/>
                <w:kern w:val="0"/>
                <w:sz w:val="24"/>
              </w:rPr>
              <w:t>C23.关注幼儿学习与发展的整体性，注重健康、语言、社会、科学、艺术等各领域有机整合，促进幼儿智力和非智力因素协调发展，寓教育于生活和游戏中。（25分）</w:t>
            </w:r>
          </w:p>
        </w:tc>
        <w:tc>
          <w:tcPr>
            <w:tcW w:w="7000" w:type="dxa"/>
            <w:noWrap w:val="0"/>
            <w:vAlign w:val="center"/>
          </w:tcPr>
          <w:p>
            <w:pPr>
              <w:widowControl/>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70.整合教学活动、生活活动、游戏活动等各类活动的组织与实施，目标、内容不相互割裂。（9分）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71.活动目标能兼顾情感与态度、兴趣与能力、知识与经验，能促进幼儿注意力、观察力、想象力等智力因素以及情感、意志、兴趣等非智力因素的协调发展。（8分）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72.活动内容体现五育并举，五大领域内容有机整合，能在生活和游戏中自然融合各领域的多重育人价值。（8分）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1.班级观察：教学活动、生活活动、游戏活动的组织情况，幼儿发展情况等。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2.查阅档案：各类活动方案、幼小衔接工作开展情况等。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3.教师、幼儿访谈：对幼小衔接的理解、幼小衔接方案的实施情况以及幼儿的入学期待等。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3"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40" w:lineRule="exact"/>
              <w:rPr>
                <w:rFonts w:hint="eastAsia" w:ascii="仿宋_GB2312" w:hAnsi="宋体" w:eastAsia="仿宋_GB2312" w:cs="宋体"/>
                <w:kern w:val="0"/>
                <w:sz w:val="24"/>
              </w:rPr>
            </w:pPr>
            <w:r>
              <w:rPr>
                <w:rFonts w:hint="eastAsia" w:ascii="仿宋_GB2312" w:hAnsi="宋体" w:eastAsia="仿宋_GB2312" w:cs="宋体"/>
                <w:kern w:val="0"/>
                <w:sz w:val="24"/>
              </w:rPr>
              <w:t>C24.关注幼儿发展的连续性，注重幼小科学衔接。大班下学期采取多种形式，有针对性地帮助幼儿做好身心、生活、社会和学习等多方面的准备，建立对小学的积极期待和向往，促进幼儿顺利过渡。（25分）</w:t>
            </w:r>
          </w:p>
        </w:tc>
        <w:tc>
          <w:tcPr>
            <w:tcW w:w="7000" w:type="dxa"/>
            <w:noWrap w:val="0"/>
            <w:vAlign w:val="center"/>
          </w:tcPr>
          <w:p>
            <w:pPr>
              <w:widowControl/>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73.根据《教育部关于大力推进幼儿园与小学科学衔接的指导意见》制定科学合理、切合实际的幼小衔接工作方案，在身心、生活、社会和学习准备等方面，科学合理地帮助幼儿做好入学准备。（10分）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74.将入学准备教育有机渗透于幼儿园三年保育教育工作的全过程。根据大班幼儿即将进入小学的特殊需要，实施有针对性的入学准备教育，确保幼儿顺利过渡。（15分）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A3.教育过程</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（400分）</w:t>
            </w: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B8.师幼互动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（175分）</w:t>
            </w:r>
          </w:p>
        </w:tc>
        <w:tc>
          <w:tcPr>
            <w:tcW w:w="2523" w:type="dxa"/>
            <w:noWrap w:val="0"/>
            <w:vAlign w:val="center"/>
          </w:tcPr>
          <w:p>
            <w:pPr>
              <w:widowControl/>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C25.教师保持积极乐观愉快的情绪状态，以亲切和蔼、支持性的态度和行为与幼儿互动，平等对待每一名幼儿。幼儿在一日活动中是自信、从容的，能放心大胆地表达真实情绪和不同观点。（25分）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75.教师情绪平和稳定、积极乐观，平等对待每一名幼儿，为幼儿创设安全、温馨的心理环境，营造宽松、和谐的班级氛围，师幼、幼幼间能充分开展互动交流。（8分）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76.教师关注幼儿心理健康，尊重信任接纳幼儿，支持幼儿自主探究，鼓励幼儿大胆表达，帮助幼儿建立自信。（7分）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77.幼儿情绪愉悦、从容自信，喜欢幼儿园生活，能真实表达自己的情绪和不同观点。（10分）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1.班级观察：教师和幼儿的情绪状态、教师活动组织情况、师幼互动情况、幼儿游戏情况等。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2.教师、幼儿访谈：教师对幼儿学习方式和特点的理解，对教师角色的定位与理解，幼儿对自身游戏活动的评价等。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9"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C26.支持幼儿自主选择游戏材料、同伴和玩法，支持幼儿参与一日生活中与自己有关的决策。（25分）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78.教师支持幼儿自主选择游戏材料、同伴和玩法，不对幼儿做硬性规定和要求，杜绝高控行为。（9分）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79.幼儿在游戏活动中能按照自己的兴趣、节奏和方式进行。（8分）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80.幼儿能参与一日生活中与自己有关的决策，如：选择座位、进餐量、饮水时间及如厕时间等。（8分）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60" w:lineRule="exact"/>
              <w:rPr>
                <w:rFonts w:hint="eastAsia" w:ascii="仿宋_GB2312" w:hAnsi="宋体" w:eastAsia="仿宋_GB2312" w:cs="宋体"/>
                <w:kern w:val="0"/>
                <w:sz w:val="24"/>
              </w:rPr>
            </w:pPr>
            <w:r>
              <w:rPr>
                <w:rFonts w:hint="eastAsia" w:ascii="仿宋_GB2312" w:hAnsi="宋体" w:eastAsia="仿宋_GB2312" w:cs="宋体"/>
                <w:kern w:val="0"/>
                <w:sz w:val="24"/>
              </w:rPr>
              <w:t>C27.认真观察幼儿在各类活动中的行为表现并做必要记录，根据一段时间的持续观察，对幼儿的发展情况和需要做出客观全面的分析，提供有针对性地支持。不急于介入或干扰幼儿的活动。（30分）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81.教师能够认真观察幼儿在各类活动中的行为表现，能对幼儿的活动过程和表现进行记录。不仅记录个别幼儿的精彩瞬间，更应关注幼儿的寻常时刻和真正需要支持或帮助的幼儿。（10分）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82.教师在持续观察的基础上能够对幼儿的发展情况和需要进行客观、全面的分析，提供有针对性的支持，助推幼儿更好地学习和发展。（12分）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83.教师在尚未理解幼儿的活动意图和想法时，不急于介入或干扰幼儿的活动，给幼儿的主动探索和学习留有足够空间。（8分）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1.班级观察：班级文化氛围、教师的活动组织情况、师幼互动情况、活动生成情况等。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2.查阅档案：教师观察记录、幼儿个案记录、幼儿表征作品及幼儿成长档案等材料。</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3.教师访谈：对观察到的情况、教师提供的材料等与教师交流讨论等。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6"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A3.教育过程</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（400分）</w:t>
            </w:r>
          </w:p>
        </w:tc>
        <w:tc>
          <w:tcPr>
            <w:tcW w:w="991"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B8.师幼互动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（175分）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C28.重视幼儿通过绘画、讲述等方式对自己经历过的游戏、阅读图画书、观察等活动进行表达表征，教师能一对一倾听并真实记录幼儿的想法和体验。（20分）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84.活动结束后，教师支持幼儿借助绘画、讲述、表演等方式对自己经历过的游戏、阅读图画书、观察等活动进行表达表征。（10分）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85.教师一对一倾听并真实记录幼儿的想法和体验，了解幼儿的思维方式和学习特点，把握幼儿的兴趣需要和发展水平，及时给予积极的鼓励、肯定等情感回应。（10分）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7"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C29.善于发现各种偶发的教育契机，能抓住活动中幼儿感兴趣或有意义的问题和情境，能识别幼儿以新的方式主动学习，及时给予有效支持。（25分）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86.教师能够发现活动中幼儿感兴趣或有意义的问题和情境，捕捉教育契机，生成教育活动，支持和推动幼儿的深度学习。（9分）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87.教师能识别幼儿与以往不同的新的学习方式，找到其中的经验生长点，及时给予有效支持，拓展和深化幼儿的学习与发展。（9分）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88.教师对幼儿活动过程中的努力或创造性的表达表现进行表扬和鼓励，而非简单夸赞幼儿。（7分）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2"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C30.尊重并回应幼儿的想法与问题，通过开放性提问、推测、讨论等方式，支持和拓展每一个幼儿的学习。（20分）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89.教师尊重幼儿的想法和问题，从内心认可其价值，不敷衍或否定幼儿。（10分）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90.教师通过开放性提问、推测、讨论等方式与幼儿展开积极有效的互动，同时鼓励和支持幼儿发起互动，最大化地支持和拓展每一个幼儿的学习。（10分）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9"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A3.教育过程</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（400分）</w:t>
            </w:r>
          </w:p>
        </w:tc>
        <w:tc>
          <w:tcPr>
            <w:tcW w:w="991" w:type="dxa"/>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B8.师幼互动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（175分）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31.理解幼儿在健康、语言、社会、科学、艺术等各领域的学习方式，尊重幼儿发展的个体差异，发现每个幼儿的优势和长处，促进幼儿在原有水平上的发展。不片面追求某一领域、某一方面的学习和发展。（30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91.注重幼儿发展的整体性，不设置片面追求某一领域、某一方面的特色课程。（10分）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92.理解和把握幼儿各领域的关键经验和学习方式，尊重和接纳幼儿发展的个体差异，善于发现每一名幼儿的优势和长处，促进其在原有水平上得到发展。（10分）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93.建立幼儿成长档案，及时观察、记录分析幼儿的行为和发展水平，并进行有效引导和支持。（10分）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1.班级观察：师幼互动情况。</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2.查阅档案：班级学期计划、月计划（主题计划）、周计划以及幼儿个案记录、幼儿成长档案等。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B9.家园共育</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（85分）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C32.幼儿园与家长建立平等互信关系，教师及时与家长分享幼儿的成长和进步，了解幼儿在家庭中的表现，认真倾听家长的意见建议。（20分）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94.有符合幼儿园实际的家园共育工作方案，并落实到位。（5分）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95.每学期与所有家长进行多次个别形式和集体形式沟通，及时交流、分享幼儿在园及在家的表现和进步，提出有针对性的教育建议。（8分）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96.能多渠道倾听、了解家长对幼儿园、班级及教师的意见建议，并认真分析、处理和反馈，建立平等互信的家园关系。（7分）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1.查阅档案：家园共育制度，家长委员会工作开展情况，家长会、家长开放日等活动开展情况，家长学校课程安排等。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2.家长访谈：了解家园共育、家长参与幼儿园管理、家长会、家长开放日、家长学校活动开展、教师育儿指导等情况。</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3.教师访谈：家园沟通工作的成效与建议。</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C33.家长有机会体验幼儿园的生活，参与幼儿园管理，引导家长理解教师工作对幼儿成长的价值，尊重教师的专业性，积极参与并支持幼儿园的工作，成为幼儿园的合作伙伴。（20分）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97.成立家长委员会、膳食委员会等，引导家长有效参与幼儿园管理和发展。（10分）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98.每学期能为家长提供不少于2次参与幼儿园活动的机会，包括班级开放活动、幼儿园环境创设活动、家长志愿者活动等，让家长了解幼儿园工作和保教人员的专业性，能积极支持和参与幼儿园活动。（10分）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1"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A3.教育过程</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（400分）</w:t>
            </w:r>
          </w:p>
        </w:tc>
        <w:tc>
          <w:tcPr>
            <w:tcW w:w="991"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B9.家园共育</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（85分）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C34.幼儿园通过家长会、家长开放日等多种途径，向家长宣传科学育儿理念和知识，为家长提供分享交流育儿经验的机会，帮助家长解决育儿困惑。（25分）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99.每学期至少召开1次面向全体幼儿家长的家长会，至少开展1次家长开放日活动，加强家庭教育指导，提高家庭育人能力。（7分）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100.建设家长学校，构建符合教育规律、具有学段特征、满足家长需求的家园共育课程。（7分）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101.培养骨干教师，给家长提供专业的育儿指导，帮助家长解决育儿困惑。（5分）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102.通过开展专题沙龙、案例分享等家园共育活动，为家长提供分享交流育儿经验的机会。（6分）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2"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C35.幼儿园与家庭、社区密切合作，积极构建协同育人机制，充分利用自然、社会和文化资源，共同创设良好的育人环境。（20分）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103.健全家园社协同育人机制，能够充分挖掘和利用社区的自然、社会和文化资源，争取社区的支持与配合，建立资源目录清单。（6分）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104.每学期至少组织一次“请进来、走出去”活动，通过带领幼儿走进动物园、植物园、图书馆、科技馆等场所，邀请家庭和社区等不同行业模范走进幼儿园，丰富幼儿园课程资源。（8分）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105.积极面向社区宣传科学育儿知识，开展多种形式的家庭教育指导服务，形成良好的家园社协同育人氛围。（6分）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1.查阅档案：与社区合作形式，查阅资源库清单、与社区签订的协议等。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2.家长访谈：了解家园共育情况等。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4" w:hRule="atLeast"/>
          <w:jc w:val="center"/>
        </w:trPr>
        <w:tc>
          <w:tcPr>
            <w:tcW w:w="1137"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A4.环境创设</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（80分）</w:t>
            </w: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B10.空间设施</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C36.幼儿园规模与班额符合国家和地方相关规定，合理规划并灵活调整室内外空间布局，最大限度地满足幼儿生活和游戏的需要。除综合活动室外，不追求设置专门的功能室，避免奢华浪费和形式主义。（20分）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106.幼儿园规模6—12个班为宜，每班幼儿人数一般为小班25人，中班30人，大班35人。（4分）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107.各班有独立配套、宽敞明亮、通风及采光良好的班级活动室，面积符合国家或地方办园条件标准要求；根据活动室面积、幼儿人数及活动需要设置5个以上活动区域，区域环境创设合理。（7分）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108.功能室因地制宜，按需设置，不做硬性规定，避免奢华浪费和形式主义。（2分）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109.户外活动面积与幼儿园规模相适宜，室外游戏场地生均面积</w:t>
            </w:r>
            <w:r>
              <w:rPr>
                <w:rFonts w:ascii="Cambria Math" w:hAnsi="Cambria Math" w:eastAsia="仿宋_GB2312" w:cs="宋体"/>
                <w:kern w:val="0"/>
                <w:sz w:val="24"/>
              </w:rPr>
              <w:t>≧</w:t>
            </w:r>
            <w:r>
              <w:rPr>
                <w:rFonts w:hint="eastAsia" w:ascii="仿宋_GB2312" w:hAnsi="宋体" w:eastAsia="仿宋_GB2312" w:cs="宋体"/>
                <w:kern w:val="0"/>
                <w:sz w:val="24"/>
              </w:rPr>
              <w:t>4平方米，能够满足幼儿体育锻炼与各类游戏活动的需要，创设自然、生态、童趣、富有挑战、能够促进幼儿深度学习与发展的户外环境。（7分）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xml:space="preserve">1.查阅档案：幼儿园班级人数花名册、幼儿园设计平面图等。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2.实地查看：幼儿园规模、班级人数、活动室配套、活动区域设置、户外活动场地情况等。              </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0"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37.各类设施设备、玩具材料安全、环保，符合幼儿的年龄特点，方便幼儿使用和取放，满足幼儿逐步增长的独立活动需要。提供必要的遮阳遮雨设施设备，确保特殊天气条件下幼儿必要的户外活动能正常开展。（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110.各类设施设备及玩具材料符合安全、卫生、环保要求和幼儿年龄特点，定期进行安全检查并及时维修。（7分）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111.各类设施设备及玩具材料存放位置合理、高度适宜、开放管理，便于幼儿就近取用、自主取放、整理收纳。（10分）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112.能够提供必要的遮阳遮雨设施设备，配备雨衣、雨鞋等，确保特殊天气条件下幼儿能正常开展必要的户外活动。（3分）</w:t>
            </w:r>
          </w:p>
        </w:tc>
        <w:tc>
          <w:tcPr>
            <w:tcW w:w="3118" w:type="dxa"/>
            <w:vMerge w:val="restart"/>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1.查阅档案：幼儿园户外玩具材料数量清单、班级室内玩具材料清单；设施设备及玩具材料安全检查记录，投入设施设备、玩具材料的账目以及图画书清单及自查、补充情况等。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2.实地查看：设施设备、玩具材料配备、存放情况，遮阳遮雨设备配备情况、图画书配备情况。以及幼儿游戏情况等。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1"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A4.环境创设</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（80分）</w:t>
            </w: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B11.玩具材料</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C38.玩具材料种类丰富，数量充足，以低结构材料为主，能够保证多名幼儿同时游戏的需要。尽可能减少幼儿使用电子设备。（20分）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113.玩具材料种类丰富，以低结构材料为主，能满足幼儿的各类游戏和活动需求，幼儿可以根据自己的兴趣和想法随意组合。（8分）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114.玩具材料数量充足，户外玩具材料数量能够满足全园1/2以上幼儿同时活动，室内玩具材料能够充分满足本班幼儿区域活动的需要。（8分）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115.制定班级电子设备使用制度，尽可能减少幼儿使用电子设备，严格控制使用频次和时间，连续使用时间小班不超过15分钟，中班不超过20分钟，大班不超过30分钟。（4分）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1"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39.幼儿园配备的图画书应符合幼儿年龄特点和认知水平，注重体现中华优秀传统文化和现代生活特色，富有教育意义。人均数量不少于10册，每班复本量不超过5册，并根据需要及时调整更新。幼儿园不得使用幼儿教材和境外课程，防止存在意识形态和宗教等渗透的图画书进入幼儿园。（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xml:space="preserve">116.图画书符合幼儿年龄特点，内容注重体现中华优秀传统文化和现代生活特色，富有教育意义。（6分）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117.图画书人均数量不少于15册，每班复本量不超过5册，并根据实际及时补充和更新。（6分）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118.定期开展自查，不得投放存在意识形态问题和宗教渗透问题的图画书。（4分）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119.幼儿园不得使用幼儿教材和境外课程。（4分）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5" w:hRule="atLeast"/>
          <w:jc w:val="center"/>
        </w:trPr>
        <w:tc>
          <w:tcPr>
            <w:tcW w:w="1137"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A5.教师队伍</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（170分）</w:t>
            </w:r>
          </w:p>
        </w:tc>
        <w:tc>
          <w:tcPr>
            <w:tcW w:w="991" w:type="dxa"/>
            <w:vMerge w:val="restar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B12.师德师风</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（30分）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C40.教职工有坚定的政治信仰，按照“四有”好教师标准履行幼儿园教师职业道德规范，爱岗敬业，关爱幼儿，严格自律，没有歧视、侮辱、体罚或变相体罚等有损幼儿身心健康的行为。（20分）</w:t>
            </w:r>
          </w:p>
        </w:tc>
        <w:tc>
          <w:tcPr>
            <w:tcW w:w="7000"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120.严格落实《新时代幼儿园教师职业十项准则》和《幼儿园教师违反职业道德行为处理办法》，建立师德师风建设长效机制。（5分）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121.广泛开展“四有”好老师主题教育活动，教职工政治信仰坚定，爱国守法，爱岗敬业，尊重、爱护和平等对待幼儿。（7分）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122.教职工无师德师风不良记录，没有虐待、歧视、恐吓、体罚或者变相体罚幼儿及侮辱幼儿人格等损害幼儿身心健康的行为（8分）</w:t>
            </w:r>
          </w:p>
        </w:tc>
        <w:tc>
          <w:tcPr>
            <w:tcW w:w="3118"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1.班级观察：班级文化氛围、师幼互动情况等。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2.查阅档案：师德师风建设方案、工作机制等。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3.园长、教师访谈：建设方案制定、落实情况；师德师风建设成效、践行情况等。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4.家长访谈和家长满意度调查：了解家长对幼儿园师德师风的评价。</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6"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C41.关心教职工思想状况，加强人文关怀，帮助解决教职工思想问题与实际困难，促进教职工身心健康。（10分）</w:t>
            </w:r>
          </w:p>
        </w:tc>
        <w:tc>
          <w:tcPr>
            <w:tcW w:w="7000"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123.园所文化体现对教职员工的人文关怀与思想引领。（4分）                                                                     124.制度建设体现以人为本，关心教职工思想状况，将心理健康教育纳入教职工培养培训内容，有缓解教师的职业焦虑、减轻教师负担的具体举措。（4分）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125.关心了解教职工的实际困难和需求，对困难教职工进行帮扶。（2分）</w:t>
            </w:r>
          </w:p>
        </w:tc>
        <w:tc>
          <w:tcPr>
            <w:tcW w:w="3118"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1.实地查看：幼儿园的文化氛围、教职工的精神风貌等。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2.查阅档案：教职工培训方案、过程性材料等。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3.教职工访谈：幼儿园对教职工的培养培训、人文关怀情况、教师归属感等。                         </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0"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B13.人员配备</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（45分）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C42.幼儿园教职工按国家和地方相关要求配备到位，并做到持证上岗，无岗位空缺和无证上岗情况。（25分）</w:t>
            </w:r>
          </w:p>
        </w:tc>
        <w:tc>
          <w:tcPr>
            <w:tcW w:w="7000" w:type="dxa"/>
            <w:noWrap w:val="0"/>
            <w:vAlign w:val="center"/>
          </w:tcPr>
          <w:p>
            <w:pPr>
              <w:widowControl/>
              <w:spacing w:line="280" w:lineRule="exact"/>
              <w:rPr>
                <w:rFonts w:hint="eastAsia" w:ascii="仿宋_GB2312" w:hAnsi="宋体" w:eastAsia="仿宋_GB2312" w:cs="宋体"/>
                <w:spacing w:val="-6"/>
                <w:kern w:val="0"/>
                <w:sz w:val="24"/>
              </w:rPr>
            </w:pPr>
            <w:r>
              <w:rPr>
                <w:rFonts w:hint="eastAsia" w:ascii="仿宋_GB2312" w:hAnsi="宋体" w:eastAsia="仿宋_GB2312" w:cs="宋体"/>
                <w:spacing w:val="-6"/>
                <w:kern w:val="0"/>
                <w:sz w:val="24"/>
              </w:rPr>
              <w:t>126.按照教育部《幼儿园教职工配备标准（暂行）》《山东省公办幼儿园教职工编制标准》等配足配齐幼儿园教职工。全日制幼儿园每班配备2名专任教师和1名保育员，或配备3名专任教师。教职工与幼儿比例为:1:6-8。（10分）</w:t>
            </w:r>
            <w:r>
              <w:rPr>
                <w:rFonts w:hint="eastAsia" w:ascii="仿宋_GB2312" w:hAnsi="宋体" w:eastAsia="仿宋_GB2312" w:cs="宋体"/>
                <w:spacing w:val="-6"/>
                <w:kern w:val="0"/>
                <w:sz w:val="24"/>
              </w:rPr>
              <w:br w:type="textWrapping"/>
            </w:r>
            <w:r>
              <w:rPr>
                <w:rFonts w:hint="eastAsia" w:ascii="仿宋_GB2312" w:hAnsi="宋体" w:eastAsia="仿宋_GB2312" w:cs="宋体"/>
                <w:spacing w:val="-6"/>
                <w:kern w:val="0"/>
                <w:sz w:val="24"/>
              </w:rPr>
              <w:t>127.按照规定配备卫生保健人员、炊事人员，配足安保人员。（5分）</w:t>
            </w:r>
            <w:r>
              <w:rPr>
                <w:rFonts w:hint="eastAsia" w:ascii="仿宋_GB2312" w:hAnsi="宋体" w:eastAsia="仿宋_GB2312" w:cs="宋体"/>
                <w:spacing w:val="-6"/>
                <w:kern w:val="0"/>
                <w:sz w:val="24"/>
              </w:rPr>
              <w:br w:type="textWrapping"/>
            </w:r>
            <w:r>
              <w:rPr>
                <w:rFonts w:hint="eastAsia" w:ascii="仿宋_GB2312" w:hAnsi="宋体" w:eastAsia="仿宋_GB2312" w:cs="宋体"/>
                <w:spacing w:val="-6"/>
                <w:kern w:val="0"/>
                <w:sz w:val="24"/>
              </w:rPr>
              <w:t xml:space="preserve">128.严格实行资格准入制度，各类人员持证上岗率100%。园长具有幼儿园教师资格证书、幼儿园园长岗位培训合格证书；专任教师具有幼儿园教师资格证书；保育员取得卫健部门培训合格证书。（10分）                                                             </w:t>
            </w:r>
          </w:p>
        </w:tc>
        <w:tc>
          <w:tcPr>
            <w:tcW w:w="3118" w:type="dxa"/>
            <w:vMerge w:val="restart"/>
            <w:noWrap w:val="0"/>
            <w:vAlign w:val="center"/>
          </w:tcPr>
          <w:p>
            <w:pPr>
              <w:widowControl/>
              <w:spacing w:line="28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1.查阅档案：各类人员配备情况，查验相关证件，聘用合同或劳动合同签订情况。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2.教职工访谈：考察其是否具备专业素质和能力。                                   </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9"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A5.教师队伍</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（170分）</w:t>
            </w:r>
          </w:p>
        </w:tc>
        <w:tc>
          <w:tcPr>
            <w:tcW w:w="991" w:type="dxa"/>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B13.人员配备</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（45分）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43.幼儿园教师符合专业标准要求，保育员受过幼儿保育职业培训，保教人员熟知学前儿童身心发展规律，具有较强的保育教育实践能力。园长应具有五年以上幼儿园教师或者幼儿园管理工作经历，具有较强的专业领导力。（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129.专任教师具备《幼儿园教师专业标准（试行）》必须的基本素质和能力。（7分）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130.保育员具有高中及以上学历，接受过教育部门或卫健部门组织的专题培训，职业技能熟练，能积极配合教师开展工作。（6分）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131.园长符合《幼儿园园长专业标准》岗位要求，有较强的专业领导力，具备大专及以上学历，有五年以上幼儿园教师或者幼儿园管理工作经历。（7分）</w:t>
            </w:r>
          </w:p>
        </w:tc>
        <w:tc>
          <w:tcPr>
            <w:tcW w:w="3118" w:type="dxa"/>
            <w:vMerge w:val="continue"/>
            <w:noWrap w:val="0"/>
            <w:vAlign w:val="center"/>
          </w:tcPr>
          <w:p>
            <w:pPr>
              <w:widowControl/>
              <w:jc w:val="left"/>
              <w:rPr>
                <w:rFonts w:ascii="仿宋_GB2312" w:hAnsi="宋体" w:eastAsia="仿宋_GB2312" w:cs="宋体"/>
                <w:kern w:val="0"/>
                <w:sz w:val="24"/>
              </w:rPr>
            </w:pP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3"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B14.专业发展</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（60分）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C44.园长能与教职工共同研究制订符合教职工自身特点的专业发展规划，提供发展空间，支持他们有计划地达成专业发展目标。（20分）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132.园长与教职工共同制定切实可行的教师专业发展规划，幼儿园支持教职工达成发展目标的举措清晰。（5分）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133.有教师个人发展规划和成长档案，为教师提供发展空间，能体现教师专业发展的历程。（7分）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134.有多元的学习、进修及培养机制，年度公用经费预算总额的5%以上用于教师培训，分层次分类型提供教职工学习、进修的机会，教师每5年参加专业发展培训不少于360学时。（8分）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1.查阅档案：教师专业发展规划，教师成长档案，培训情况，教师培训费相关的财务资料等。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2.园长、教师访谈：园长、教师对本园教师培养培训、专业发展的规划及意见建议。</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3" w:hRule="atLeast"/>
          <w:jc w:val="center"/>
        </w:trPr>
        <w:tc>
          <w:tcPr>
            <w:tcW w:w="1137"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A5.教师队伍</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（170分）</w:t>
            </w:r>
          </w:p>
        </w:tc>
        <w:tc>
          <w:tcPr>
            <w:tcW w:w="991" w:type="dxa"/>
            <w:vMerge w:val="restar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B14.专业发展</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（60分）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C45.制订合理的教研制度并有效落实，教研工作聚焦解决保育教育实践中的困惑和问题，注重激发教师积极主动反思，提高教师实践能力，增强教师专业自信。（25分）</w:t>
            </w:r>
          </w:p>
        </w:tc>
        <w:tc>
          <w:tcPr>
            <w:tcW w:w="7000" w:type="dxa"/>
            <w:noWrap w:val="0"/>
            <w:vAlign w:val="center"/>
          </w:tcPr>
          <w:p>
            <w:pPr>
              <w:widowControl/>
              <w:spacing w:line="28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135.教研制度合理，教研计划符合本园实际，园本教研活动每周不少于1次，每次不少于1小时。（8分）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136.教研主题来自保教实践中的真实问题，注重教研方式的多样化、教研主体的多元化、教研结果的有效性等，引导教师积极主动参与教研。（9分）                                                                                     137.定期开展优秀教育案例、教育故事、教育心得等评选活动，鼓励教师将教学反思作为提高个人业务水平、实践能力的有效手段，促进教师专业成长。（8分）</w:t>
            </w:r>
          </w:p>
        </w:tc>
        <w:tc>
          <w:tcPr>
            <w:tcW w:w="3118" w:type="dxa"/>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1.查阅档案：教研制度，教研计划，培训计划，教研活动过程资料，教师反思或教育随笔等文本以及教师获奖证书及科研成果。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2.实地查看：观摩现场教研活动。</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2"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vMerge w:val="continue"/>
            <w:noWrap w:val="0"/>
            <w:vAlign w:val="center"/>
          </w:tcPr>
          <w:p>
            <w:pPr>
              <w:widowControl/>
              <w:jc w:val="center"/>
              <w:rPr>
                <w:rFonts w:ascii="仿宋_GB2312" w:hAnsi="宋体" w:eastAsia="仿宋_GB2312" w:cs="宋体"/>
                <w:kern w:val="0"/>
                <w:sz w:val="24"/>
              </w:rPr>
            </w:pP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C46.园长能深入班级了解一日活动和师幼互动过程，共同研究保育教育实践问题，形成协同学习、相互支持的良好氛围。（15分）</w:t>
            </w:r>
          </w:p>
        </w:tc>
        <w:tc>
          <w:tcPr>
            <w:tcW w:w="7000"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138.园长每学期进班观察与指导累计不少于10个完整的半日活动，业务副园长每学期进班观察与指导累计不少于16个完整的半日活动，能及时深入了解教师一日活动安排及师幼互动情况。（8分）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139.园长、业务副园长积极参与教研活动，园长每月不少于2次，业务副园长每周不少于1次。（7分）</w:t>
            </w:r>
          </w:p>
        </w:tc>
        <w:tc>
          <w:tcPr>
            <w:tcW w:w="3118" w:type="dxa"/>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1.查阅档案：园长、业务副园长的随班观察记录、教研笔记。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2.教师访谈：园长、业务副园长进班指导与教研活动参与次数、成效等。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9" w:hRule="atLeast"/>
          <w:jc w:val="center"/>
        </w:trPr>
        <w:tc>
          <w:tcPr>
            <w:tcW w:w="1137" w:type="dxa"/>
            <w:vMerge w:val="continue"/>
            <w:noWrap w:val="0"/>
            <w:vAlign w:val="center"/>
          </w:tcPr>
          <w:p>
            <w:pPr>
              <w:widowControl/>
              <w:jc w:val="center"/>
              <w:rPr>
                <w:rFonts w:ascii="仿宋_GB2312" w:hAnsi="宋体" w:eastAsia="仿宋_GB2312" w:cs="宋体"/>
                <w:kern w:val="0"/>
                <w:sz w:val="24"/>
              </w:rPr>
            </w:pPr>
          </w:p>
        </w:tc>
        <w:tc>
          <w:tcPr>
            <w:tcW w:w="991" w:type="dxa"/>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B15.激励机制（35分）</w:t>
            </w:r>
          </w:p>
        </w:tc>
        <w:tc>
          <w:tcPr>
            <w:tcW w:w="2523"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C47.树立正确激励导向，突出日常保育教育实践成效，克服唯课题、唯论文等倾向，注重通过表彰奖励、薪酬待遇、职称评定、岗位晋升、专业支持等多种方式，激励教师爱岗敬业、潜心育人。（20分）</w:t>
            </w:r>
          </w:p>
        </w:tc>
        <w:tc>
          <w:tcPr>
            <w:tcW w:w="7000" w:type="dxa"/>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140.制定教职工日常保育教育实践成效评估办法，评估内容包括德能勤绩廉等，评估过程包括教职工自评、园所评价和家长评价等。（5分）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141.建立表彰奖励、绩效工资发放、职称评定、岗位晋升等制度，且突出日常保育教育工作成效。（5分）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142.有鼓励教师通过学历提升、开展实践性课题研究等提升专业素质和水平，克服唯课题、唯论文等倾向。（5分）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143.幼儿园与教职工签订聘用合同或劳动合同。教师工资足额及时发放，按规定足额足项缴纳“五险一金”。（5分）</w:t>
            </w:r>
          </w:p>
        </w:tc>
        <w:tc>
          <w:tcPr>
            <w:tcW w:w="3118" w:type="dxa"/>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1.查阅档案：保教实践成效评估方案、办法和过程性评价材料等；工资发放、“五险一金”缴纳情况等。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2.教职工访谈：幼儿园保教实践评估办法、激励制度的合理性、成效等。</w:t>
            </w:r>
          </w:p>
        </w:tc>
        <w:tc>
          <w:tcPr>
            <w:tcW w:w="747" w:type="dxa"/>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2" w:hRule="atLeast"/>
          <w:jc w:val="center"/>
        </w:trPr>
        <w:tc>
          <w:tcPr>
            <w:tcW w:w="1137" w:type="dxa"/>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A5.教师队伍</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（170分）</w:t>
            </w:r>
          </w:p>
        </w:tc>
        <w:tc>
          <w:tcPr>
            <w:tcW w:w="991" w:type="dxa"/>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B15.激励机制（35分）</w:t>
            </w:r>
          </w:p>
        </w:tc>
        <w:tc>
          <w:tcPr>
            <w:tcW w:w="2523"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C48.善于倾听、理解教职工的所思所做，发现和肯定每一名教职工的闪光点和成长进步，教职工能够感受到来自园长和同事的关心与支持，有归属感和幸福感。（15分）</w:t>
            </w:r>
          </w:p>
        </w:tc>
        <w:tc>
          <w:tcPr>
            <w:tcW w:w="7000"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144.畅通交流沟通渠道，园长能积极听取教职工的意见建议并及时反馈。（5分）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145.充分发挥工会组织、教职工代表大会的作用，维护教职工权益。园所管理和发展等重大问题，以及涉及教职工切身利益的评先树优、职称评聘和岗位晋升等问题，教职工均能够充分参与意见。（6分）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146.能为教职工创设温馨和谐的工作环境，及时发现和充分肯定每一名教职工的闪光点和成长进步，发挥每一位教职工的特长和优势，教职工对幼儿园有归属感，对幼教工作有幸福感和获得感。（4分）</w:t>
            </w:r>
          </w:p>
        </w:tc>
        <w:tc>
          <w:tcPr>
            <w:tcW w:w="3118" w:type="dxa"/>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1.查看档案：幼儿园教职工大会、工会工作开展情况。</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2.园长、教职工访谈：园长与教职工交流情况，工会、职工代表大会作用发挥情况等；教职工归属感、幸福感和获得感。</w:t>
            </w:r>
          </w:p>
        </w:tc>
        <w:tc>
          <w:tcPr>
            <w:tcW w:w="747" w:type="dxa"/>
            <w:noWrap/>
            <w:vAlign w:val="center"/>
          </w:tcPr>
          <w:p>
            <w:pPr>
              <w:widowControl/>
              <w:jc w:val="left"/>
              <w:rPr>
                <w:rFonts w:hint="eastAsia" w:ascii="仿宋_GB2312" w:hAnsi="宋体" w:eastAsia="仿宋_GB2312" w:cs="宋体"/>
                <w:kern w:val="0"/>
                <w:sz w:val="24"/>
              </w:rPr>
            </w:pPr>
          </w:p>
        </w:tc>
      </w:tr>
    </w:tbl>
    <w:p>
      <w:pPr>
        <w:pStyle w:val="2"/>
        <w:ind w:firstLine="640"/>
        <w:rPr>
          <w:rFonts w:hint="eastAsia"/>
        </w:rPr>
      </w:pPr>
    </w:p>
    <w:p>
      <w:pPr>
        <w:pStyle w:val="2"/>
        <w:ind w:firstLine="640"/>
        <w:rPr>
          <w:rFonts w:hint="eastAsia"/>
        </w:rPr>
      </w:pPr>
    </w:p>
    <w:p>
      <w:pPr>
        <w:pStyle w:val="2"/>
        <w:ind w:firstLine="640"/>
        <w:rPr>
          <w:rFonts w:hint="eastAsia" w:ascii="黑体" w:hAnsi="黑体" w:eastAsia="黑体" w:cs="黑体"/>
          <w:szCs w:val="32"/>
        </w:rPr>
      </w:pPr>
    </w:p>
    <w:p>
      <w:pPr>
        <w:pStyle w:val="2"/>
        <w:ind w:firstLine="640"/>
        <w:rPr>
          <w:rFonts w:hint="eastAsia" w:ascii="黑体" w:hAnsi="黑体" w:eastAsia="黑体" w:cs="黑体"/>
          <w:szCs w:val="32"/>
        </w:rPr>
      </w:pPr>
    </w:p>
    <w:p>
      <w:pPr>
        <w:pStyle w:val="2"/>
        <w:ind w:firstLine="640"/>
        <w:rPr>
          <w:rFonts w:hint="eastAsia" w:ascii="黑体" w:hAnsi="黑体" w:eastAsia="黑体" w:cs="黑体"/>
          <w:szCs w:val="32"/>
        </w:rPr>
      </w:pPr>
    </w:p>
    <w:p>
      <w:pPr>
        <w:pStyle w:val="2"/>
        <w:ind w:firstLine="640"/>
        <w:rPr>
          <w:rFonts w:hint="eastAsia" w:ascii="黑体" w:hAnsi="黑体" w:eastAsia="黑体" w:cs="黑体"/>
          <w:szCs w:val="32"/>
        </w:rPr>
      </w:pPr>
      <w:bookmarkStart w:id="0" w:name="_GoBack"/>
      <w:bookmarkEnd w:id="0"/>
    </w:p>
    <w:p>
      <w:pPr>
        <w:pStyle w:val="2"/>
        <w:ind w:firstLine="640"/>
        <w:rPr>
          <w:rFonts w:hint="eastAsia" w:ascii="黑体" w:hAnsi="黑体" w:eastAsia="黑体" w:cs="黑体"/>
          <w:szCs w:val="32"/>
        </w:rPr>
      </w:pPr>
    </w:p>
    <w:p>
      <w:pPr>
        <w:keepNext w:val="0"/>
        <w:keepLines w:val="0"/>
        <w:pageBreakBefore w:val="0"/>
        <w:widowControl/>
        <w:shd w:val="clear"/>
        <w:kinsoku/>
        <w:wordWrap/>
        <w:overflowPunct/>
        <w:topLinePunct w:val="0"/>
        <w:autoSpaceDE/>
        <w:autoSpaceDN/>
        <w:bidi w:val="0"/>
        <w:adjustRightInd/>
        <w:snapToGrid/>
        <w:spacing w:line="240" w:lineRule="auto"/>
        <w:jc w:val="left"/>
        <w:textAlignment w:val="auto"/>
        <w:rPr>
          <w:rFonts w:hint="eastAsia" w:ascii="方正小标宋_GBK" w:hAnsi="方正小标宋_GBK" w:eastAsia="方正小标宋_GBK" w:cs="方正小标宋_GBK"/>
          <w:color w:val="000000"/>
          <w:sz w:val="44"/>
        </w:rPr>
      </w:pPr>
    </w:p>
    <w:sectPr>
      <w:footerReference r:id="rId5" w:type="first"/>
      <w:footerReference r:id="rId3" w:type="default"/>
      <w:footerReference r:id="rId4" w:type="even"/>
      <w:pgSz w:w="16838" w:h="11906" w:orient="landscape"/>
      <w:pgMar w:top="1531" w:right="2041" w:bottom="1531" w:left="1985" w:header="851" w:footer="124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00"/>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18</w:t>
    </w:r>
    <w:r>
      <w:rPr>
        <w:rStyle w:val="9"/>
        <w:sz w:val="28"/>
        <w:szCs w:val="28"/>
      </w:rPr>
      <w:fldChar w:fldCharType="end"/>
    </w:r>
    <w:r>
      <w:rPr>
        <w:rStyle w:val="9"/>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210" w:leftChars="100" w:right="210" w:rightChars="10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E1AED"/>
    <w:rsid w:val="000102C3"/>
    <w:rsid w:val="00091282"/>
    <w:rsid w:val="000D1704"/>
    <w:rsid w:val="000F6019"/>
    <w:rsid w:val="001331E3"/>
    <w:rsid w:val="001414E6"/>
    <w:rsid w:val="00150F26"/>
    <w:rsid w:val="00167D58"/>
    <w:rsid w:val="001A1AD1"/>
    <w:rsid w:val="001B3585"/>
    <w:rsid w:val="001F444B"/>
    <w:rsid w:val="002675B8"/>
    <w:rsid w:val="00295935"/>
    <w:rsid w:val="0032220F"/>
    <w:rsid w:val="003340EC"/>
    <w:rsid w:val="00360658"/>
    <w:rsid w:val="003751E7"/>
    <w:rsid w:val="003F186A"/>
    <w:rsid w:val="0040787C"/>
    <w:rsid w:val="004255E8"/>
    <w:rsid w:val="004575BE"/>
    <w:rsid w:val="00461822"/>
    <w:rsid w:val="004B0A45"/>
    <w:rsid w:val="004D73FC"/>
    <w:rsid w:val="004F3958"/>
    <w:rsid w:val="004F7B85"/>
    <w:rsid w:val="0050349A"/>
    <w:rsid w:val="0052423E"/>
    <w:rsid w:val="00544492"/>
    <w:rsid w:val="00556BBC"/>
    <w:rsid w:val="00584E26"/>
    <w:rsid w:val="00585162"/>
    <w:rsid w:val="005A16A3"/>
    <w:rsid w:val="005A25FA"/>
    <w:rsid w:val="005C41F8"/>
    <w:rsid w:val="00666697"/>
    <w:rsid w:val="006833BA"/>
    <w:rsid w:val="006B5CE2"/>
    <w:rsid w:val="006C2E79"/>
    <w:rsid w:val="006C2FB5"/>
    <w:rsid w:val="0071780E"/>
    <w:rsid w:val="00726544"/>
    <w:rsid w:val="007E30A8"/>
    <w:rsid w:val="0081034F"/>
    <w:rsid w:val="008A5A73"/>
    <w:rsid w:val="00905158"/>
    <w:rsid w:val="009102BE"/>
    <w:rsid w:val="00957444"/>
    <w:rsid w:val="00985EEB"/>
    <w:rsid w:val="009B2EAC"/>
    <w:rsid w:val="009C7207"/>
    <w:rsid w:val="009D186D"/>
    <w:rsid w:val="00A31DCE"/>
    <w:rsid w:val="00A55E34"/>
    <w:rsid w:val="00A925CA"/>
    <w:rsid w:val="00AB0B58"/>
    <w:rsid w:val="00AB0DE0"/>
    <w:rsid w:val="00AC6124"/>
    <w:rsid w:val="00AE28A8"/>
    <w:rsid w:val="00B60FB2"/>
    <w:rsid w:val="00B6591F"/>
    <w:rsid w:val="00B6715F"/>
    <w:rsid w:val="00B83F06"/>
    <w:rsid w:val="00B86524"/>
    <w:rsid w:val="00C446A0"/>
    <w:rsid w:val="00CE0CA6"/>
    <w:rsid w:val="00CF149C"/>
    <w:rsid w:val="00D020AE"/>
    <w:rsid w:val="00D9315B"/>
    <w:rsid w:val="00DF4B5E"/>
    <w:rsid w:val="00E1604F"/>
    <w:rsid w:val="00E53C59"/>
    <w:rsid w:val="00E635A2"/>
    <w:rsid w:val="00E80D7A"/>
    <w:rsid w:val="00EA46A6"/>
    <w:rsid w:val="00EC6D84"/>
    <w:rsid w:val="00EE16D6"/>
    <w:rsid w:val="00F55CD2"/>
    <w:rsid w:val="00F74267"/>
    <w:rsid w:val="00F74392"/>
    <w:rsid w:val="00FA30E9"/>
    <w:rsid w:val="00FA5E8E"/>
    <w:rsid w:val="07D66E44"/>
    <w:rsid w:val="0E44681E"/>
    <w:rsid w:val="173A42B9"/>
    <w:rsid w:val="2E665EAE"/>
    <w:rsid w:val="30D01440"/>
    <w:rsid w:val="367D4C50"/>
    <w:rsid w:val="4AE247BB"/>
    <w:rsid w:val="60644AE0"/>
    <w:rsid w:val="66FE1AED"/>
    <w:rsid w:val="6B1F1C04"/>
    <w:rsid w:val="6CC849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sz w:val="32"/>
      <w:szCs w:val="20"/>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font31"/>
    <w:qFormat/>
    <w:uiPriority w:val="0"/>
    <w:rPr>
      <w:rFonts w:hint="eastAsia" w:ascii="宋体" w:hAnsi="宋体" w:eastAsia="宋体" w:cs="宋体"/>
      <w:color w:val="000000"/>
      <w:sz w:val="22"/>
      <w:szCs w:val="22"/>
      <w:u w:val="none"/>
    </w:rPr>
  </w:style>
  <w:style w:type="character" w:customStyle="1" w:styleId="11">
    <w:name w:val="font71"/>
    <w:qFormat/>
    <w:uiPriority w:val="0"/>
    <w:rPr>
      <w:rFonts w:ascii="Times New Roman" w:hAnsi="Times New Roman" w:eastAsia="宋体"/>
      <w:color w:val="000000"/>
      <w:sz w:val="24"/>
      <w:szCs w:val="24"/>
      <w:u w:val="none"/>
    </w:rPr>
  </w:style>
  <w:style w:type="character" w:customStyle="1" w:styleId="12">
    <w:name w:val="font51"/>
    <w:qFormat/>
    <w:uiPriority w:val="0"/>
    <w:rPr>
      <w:rFonts w:hint="default" w:ascii="方正仿宋_GB2312" w:hAnsi="方正仿宋_GB2312" w:eastAsia="方正仿宋_GB2312" w:cs="方正仿宋_GB2312"/>
      <w:color w:val="000000"/>
      <w:sz w:val="24"/>
      <w:szCs w:val="24"/>
      <w:u w:val="none"/>
    </w:rPr>
  </w:style>
  <w:style w:type="paragraph" w:customStyle="1" w:styleId="13">
    <w:name w:val="批注文字1"/>
    <w:basedOn w:val="1"/>
    <w:qFormat/>
    <w:uiPriority w:val="0"/>
    <w:pPr>
      <w:jc w:val="left"/>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45;X&#20989;&#12308;&#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鲁教X函〔〕号.dot</Template>
  <Pages>20</Pages>
  <Words>14942</Words>
  <Characters>15770</Characters>
  <Lines>1</Lines>
  <Paragraphs>1</Paragraphs>
  <TotalTime>2</TotalTime>
  <ScaleCrop>false</ScaleCrop>
  <LinksUpToDate>false</LinksUpToDate>
  <CharactersWithSpaces>16969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2024-05-11T01:11:00Z</dcterms:created>
  <dc:creator>文印1</dc:creator>
  <cp:lastModifiedBy>玖號 </cp:lastModifiedBy>
  <dcterms:modified xsi:type="dcterms:W3CDTF">2024-05-13T06:09:59Z</dcterms:modified>
  <dc:title>山东省教育厅</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354AC43EC610493CBD8F4E5C1089460B</vt:lpwstr>
  </property>
</Properties>
</file>