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附件6</w:t>
      </w:r>
    </w:p>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省级学前教育游戏活动实验园创建标准</w:t>
      </w:r>
    </w:p>
    <w:tbl>
      <w:tblPr>
        <w:tblStyle w:val="7"/>
        <w:tblW w:w="55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70" w:type="dxa"/>
          <w:bottom w:w="0" w:type="dxa"/>
          <w:right w:w="170" w:type="dxa"/>
        </w:tblCellMar>
      </w:tblPr>
      <w:tblGrid>
        <w:gridCol w:w="1215"/>
        <w:gridCol w:w="1298"/>
        <w:gridCol w:w="2981"/>
        <w:gridCol w:w="8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450" w:hRule="atLeast"/>
          <w:tblHeader/>
          <w:jc w:val="center"/>
        </w:trPr>
        <w:tc>
          <w:tcPr>
            <w:tcW w:w="1215" w:type="dxa"/>
            <w:noWrap w:val="0"/>
            <w:tcMar>
              <w:top w:w="15" w:type="dxa"/>
              <w:left w:w="15" w:type="dxa"/>
              <w:right w:w="15" w:type="dxa"/>
            </w:tcMar>
            <w:vAlign w:val="center"/>
          </w:tcPr>
          <w:p>
            <w:pPr>
              <w:widowControl/>
              <w:ind w:left="105" w:leftChars="50" w:right="105" w:rightChars="50"/>
              <w:jc w:val="center"/>
              <w:rPr>
                <w:rFonts w:hint="eastAsia" w:ascii="黑体" w:hAnsi="黑体" w:eastAsia="黑体"/>
                <w:color w:val="000000"/>
                <w:kern w:val="0"/>
                <w:sz w:val="24"/>
              </w:rPr>
            </w:pPr>
            <w:r>
              <w:rPr>
                <w:rFonts w:hint="eastAsia" w:ascii="黑体" w:hAnsi="黑体" w:eastAsia="黑体"/>
                <w:color w:val="000000"/>
                <w:kern w:val="0"/>
                <w:sz w:val="24"/>
              </w:rPr>
              <w:t>一级指标</w:t>
            </w:r>
          </w:p>
        </w:tc>
        <w:tc>
          <w:tcPr>
            <w:tcW w:w="1298" w:type="dxa"/>
            <w:noWrap w:val="0"/>
            <w:tcMar>
              <w:top w:w="15" w:type="dxa"/>
              <w:left w:w="15" w:type="dxa"/>
              <w:right w:w="15" w:type="dxa"/>
            </w:tcMar>
            <w:vAlign w:val="center"/>
          </w:tcPr>
          <w:p>
            <w:pPr>
              <w:widowControl/>
              <w:ind w:left="105" w:leftChars="50" w:right="105" w:rightChars="50"/>
              <w:jc w:val="center"/>
              <w:rPr>
                <w:rFonts w:hint="eastAsia" w:ascii="黑体" w:hAnsi="黑体" w:eastAsia="黑体"/>
                <w:color w:val="000000"/>
                <w:kern w:val="0"/>
                <w:sz w:val="24"/>
              </w:rPr>
            </w:pPr>
            <w:r>
              <w:rPr>
                <w:rFonts w:hint="eastAsia" w:ascii="黑体" w:hAnsi="黑体" w:eastAsia="黑体"/>
                <w:color w:val="000000"/>
                <w:kern w:val="0"/>
                <w:sz w:val="24"/>
              </w:rPr>
              <w:t>二级指标</w:t>
            </w:r>
          </w:p>
        </w:tc>
        <w:tc>
          <w:tcPr>
            <w:tcW w:w="2981" w:type="dxa"/>
            <w:noWrap w:val="0"/>
            <w:tcMar>
              <w:top w:w="15" w:type="dxa"/>
              <w:left w:w="15" w:type="dxa"/>
              <w:right w:w="15" w:type="dxa"/>
            </w:tcMar>
            <w:vAlign w:val="center"/>
          </w:tcPr>
          <w:p>
            <w:pPr>
              <w:widowControl/>
              <w:ind w:left="105" w:leftChars="50" w:right="105" w:rightChars="50"/>
              <w:jc w:val="center"/>
              <w:rPr>
                <w:rFonts w:hint="eastAsia" w:ascii="黑体" w:hAnsi="黑体" w:eastAsia="黑体"/>
                <w:color w:val="000000"/>
                <w:kern w:val="0"/>
                <w:sz w:val="24"/>
              </w:rPr>
            </w:pPr>
            <w:r>
              <w:rPr>
                <w:rFonts w:hint="eastAsia" w:ascii="黑体" w:hAnsi="黑体" w:eastAsia="黑体"/>
                <w:color w:val="000000"/>
                <w:kern w:val="0"/>
                <w:sz w:val="24"/>
              </w:rPr>
              <w:t>三级指标</w:t>
            </w:r>
          </w:p>
        </w:tc>
        <w:tc>
          <w:tcPr>
            <w:tcW w:w="8689" w:type="dxa"/>
            <w:noWrap w:val="0"/>
            <w:tcMar>
              <w:top w:w="15" w:type="dxa"/>
              <w:left w:w="15" w:type="dxa"/>
              <w:right w:w="15" w:type="dxa"/>
            </w:tcMar>
            <w:vAlign w:val="center"/>
          </w:tcPr>
          <w:p>
            <w:pPr>
              <w:widowControl/>
              <w:ind w:right="105" w:rightChars="50"/>
              <w:jc w:val="center"/>
              <w:rPr>
                <w:rFonts w:hint="eastAsia" w:ascii="黑体" w:hAnsi="黑体" w:eastAsia="黑体"/>
                <w:color w:val="000000"/>
                <w:kern w:val="0"/>
                <w:sz w:val="24"/>
              </w:rPr>
            </w:pPr>
            <w:r>
              <w:rPr>
                <w:rFonts w:hint="eastAsia" w:ascii="黑体" w:hAnsi="黑体" w:eastAsia="黑体"/>
                <w:color w:val="000000"/>
                <w:kern w:val="0"/>
                <w:sz w:val="24"/>
              </w:rPr>
              <w:t>考查要点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763" w:hRule="atLeast"/>
          <w:jc w:val="center"/>
        </w:trPr>
        <w:tc>
          <w:tcPr>
            <w:tcW w:w="1215"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A1.组织管理（12分）</w:t>
            </w:r>
          </w:p>
        </w:tc>
        <w:tc>
          <w:tcPr>
            <w:tcW w:w="1298" w:type="dxa"/>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B1.教育理念（4分）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w:t>
            </w:r>
            <w:r>
              <w:rPr>
                <w:rFonts w:hint="eastAsia" w:ascii="仿宋_GB2312" w:hAnsi="仿宋_GB2312" w:eastAsia="仿宋_GB2312"/>
                <w:sz w:val="24"/>
                <w:szCs w:val="24"/>
              </w:rPr>
              <w:t>教育理念正确，</w:t>
            </w:r>
            <w:r>
              <w:rPr>
                <w:rFonts w:hint="eastAsia" w:ascii="仿宋_GB2312" w:hAnsi="仿宋_GB2312" w:eastAsia="仿宋_GB2312"/>
                <w:color w:val="000000"/>
                <w:kern w:val="0"/>
                <w:sz w:val="24"/>
                <w:szCs w:val="24"/>
              </w:rPr>
              <w:t>坚持全环境立德树人，</w:t>
            </w:r>
            <w:r>
              <w:rPr>
                <w:rFonts w:hint="eastAsia" w:ascii="仿宋_GB2312" w:hAnsi="仿宋_GB2312" w:eastAsia="仿宋_GB2312"/>
                <w:sz w:val="24"/>
                <w:szCs w:val="24"/>
              </w:rPr>
              <w:t>落实</w:t>
            </w:r>
            <w:r>
              <w:rPr>
                <w:rFonts w:hint="eastAsia" w:ascii="仿宋_GB2312" w:hAnsi="仿宋_GB2312" w:eastAsia="仿宋_GB2312"/>
                <w:color w:val="000000"/>
                <w:kern w:val="0"/>
                <w:sz w:val="24"/>
                <w:szCs w:val="24"/>
              </w:rPr>
              <w:t>以游戏为基本活动，</w:t>
            </w:r>
            <w:r>
              <w:rPr>
                <w:rFonts w:hint="eastAsia" w:ascii="仿宋_GB2312" w:hAnsi="仿宋_GB2312" w:eastAsia="仿宋_GB2312"/>
                <w:bCs/>
                <w:color w:val="000000"/>
                <w:kern w:val="0"/>
                <w:sz w:val="24"/>
                <w:szCs w:val="24"/>
              </w:rPr>
              <w:t>珍视生活与游戏的独特教育价值。</w:t>
            </w:r>
            <w:r>
              <w:rPr>
                <w:rFonts w:hint="eastAsia" w:ascii="仿宋_GB2312" w:hAnsi="仿宋_GB2312" w:eastAsia="仿宋_GB2312"/>
                <w:color w:val="000000"/>
                <w:kern w:val="0"/>
                <w:sz w:val="24"/>
                <w:szCs w:val="24"/>
              </w:rPr>
              <w:t>（4分）</w:t>
            </w:r>
          </w:p>
        </w:tc>
        <w:tc>
          <w:tcPr>
            <w:tcW w:w="8689" w:type="dxa"/>
            <w:noWrap w:val="0"/>
            <w:tcMar>
              <w:top w:w="15" w:type="dxa"/>
              <w:left w:w="15" w:type="dxa"/>
              <w:right w:w="15" w:type="dxa"/>
            </w:tcMar>
            <w:vAlign w:val="center"/>
          </w:tcPr>
          <w:p>
            <w:pPr>
              <w:pStyle w:val="13"/>
              <w:ind w:left="105" w:leftChars="50" w:right="105" w:rightChars="50"/>
              <w:jc w:val="both"/>
              <w:rPr>
                <w:rFonts w:hint="eastAsia" w:ascii="仿宋_GB2312" w:hAnsi="仿宋_GB2312" w:eastAsia="仿宋_GB2312"/>
                <w:bCs/>
                <w:color w:val="000000"/>
                <w:kern w:val="0"/>
                <w:sz w:val="24"/>
                <w:szCs w:val="24"/>
              </w:rPr>
            </w:pPr>
            <w:r>
              <w:rPr>
                <w:rFonts w:hint="eastAsia" w:ascii="仿宋_GB2312" w:hAnsi="仿宋_GB2312" w:eastAsia="仿宋_GB2312"/>
                <w:bCs/>
                <w:color w:val="000000"/>
                <w:kern w:val="0"/>
                <w:sz w:val="24"/>
                <w:szCs w:val="24"/>
              </w:rPr>
              <w:t>1.</w:t>
            </w:r>
            <w:r>
              <w:rPr>
                <w:rFonts w:hint="eastAsia" w:ascii="仿宋_GB2312" w:hAnsi="仿宋_GB2312" w:eastAsia="仿宋_GB2312"/>
                <w:sz w:val="24"/>
                <w:szCs w:val="24"/>
              </w:rPr>
              <w:t>贯彻落实《幼儿园教育指导纲要（试行）》《3—6岁儿童学习与发展指南》《幼儿园保育教育质量评估指南》精神，以游戏为基本活动，树立科学的儿童观、教育观、游戏观、课程观，尊重幼儿游戏的权利。</w:t>
            </w:r>
            <w:r>
              <w:rPr>
                <w:rFonts w:hint="eastAsia" w:ascii="仿宋_GB2312" w:hAnsi="仿宋_GB2312" w:eastAsia="仿宋_GB2312"/>
                <w:color w:val="000000"/>
                <w:kern w:val="0"/>
                <w:sz w:val="24"/>
                <w:szCs w:val="24"/>
              </w:rPr>
              <w:t>（2分）</w:t>
            </w:r>
          </w:p>
          <w:p>
            <w:pPr>
              <w:ind w:left="105" w:leftChars="50" w:right="105" w:rightChars="50"/>
              <w:rPr>
                <w:rFonts w:hint="eastAsia" w:ascii="仿宋_GB2312" w:hAnsi="仿宋_GB2312" w:eastAsia="仿宋_GB2312"/>
                <w:sz w:val="24"/>
                <w:szCs w:val="24"/>
              </w:rPr>
            </w:pPr>
            <w:r>
              <w:rPr>
                <w:rFonts w:hint="eastAsia" w:ascii="仿宋_GB2312" w:hAnsi="仿宋_GB2312" w:eastAsia="仿宋_GB2312"/>
                <w:sz w:val="24"/>
                <w:szCs w:val="24"/>
              </w:rPr>
              <w:t>2.坚持儿童为本，尊重幼儿的学习方式和学习特点，关注个体差异，充分理解和支持幼儿在游戏中的想法和行为，促进每一名幼儿在原有水平上得到发展。</w:t>
            </w:r>
            <w:r>
              <w:rPr>
                <w:rFonts w:hint="eastAsia" w:ascii="仿宋_GB2312" w:hAnsi="仿宋_GB2312" w:eastAsia="仿宋_GB2312"/>
                <w:color w:val="000000"/>
                <w:kern w:val="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992"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B2.组织领导（4分）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sz w:val="24"/>
                <w:szCs w:val="24"/>
              </w:rPr>
            </w:pPr>
            <w:r>
              <w:rPr>
                <w:rFonts w:hint="eastAsia" w:ascii="仿宋_GB2312" w:hAnsi="仿宋_GB2312" w:eastAsia="仿宋_GB2312"/>
                <w:sz w:val="24"/>
                <w:szCs w:val="24"/>
              </w:rPr>
              <w:t>C2.组织机构健全，人员职责明确，工作落实到位。（2分）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sz w:val="24"/>
                <w:szCs w:val="24"/>
              </w:rPr>
            </w:pPr>
            <w:r>
              <w:rPr>
                <w:rFonts w:hint="eastAsia" w:ascii="仿宋_GB2312" w:hAnsi="仿宋_GB2312" w:eastAsia="仿宋_GB2312"/>
                <w:sz w:val="24"/>
                <w:szCs w:val="24"/>
              </w:rPr>
              <w:t>1.实验园建设工作领导小组健全，园长为第一责任人。（1分）</w:t>
            </w:r>
            <w:r>
              <w:rPr>
                <w:rFonts w:hint="eastAsia" w:ascii="仿宋_GB2312" w:hAnsi="仿宋_GB2312" w:eastAsia="仿宋_GB2312"/>
                <w:sz w:val="24"/>
                <w:szCs w:val="24"/>
              </w:rPr>
              <w:br w:type="textWrapping"/>
            </w:r>
            <w:r>
              <w:rPr>
                <w:rFonts w:hint="eastAsia" w:ascii="仿宋_GB2312" w:hAnsi="仿宋_GB2312" w:eastAsia="仿宋_GB2312"/>
                <w:sz w:val="24"/>
                <w:szCs w:val="24"/>
              </w:rPr>
              <w:t>2.小组成员分工具体明确，工作落实到位。（1分）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343"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sz w:val="24"/>
                <w:szCs w:val="24"/>
              </w:rPr>
            </w:pPr>
            <w:r>
              <w:rPr>
                <w:rFonts w:hint="eastAsia" w:ascii="仿宋_GB2312" w:hAnsi="仿宋_GB2312" w:eastAsia="仿宋_GB2312"/>
                <w:sz w:val="24"/>
                <w:szCs w:val="24"/>
              </w:rPr>
              <w:t>C3.实验方案完善，内容切实可行，目标任务明确，方法措施具体。（2分）</w:t>
            </w:r>
          </w:p>
        </w:tc>
        <w:tc>
          <w:tcPr>
            <w:tcW w:w="8689" w:type="dxa"/>
            <w:noWrap w:val="0"/>
            <w:tcMar>
              <w:top w:w="15" w:type="dxa"/>
              <w:left w:w="15" w:type="dxa"/>
              <w:right w:w="15" w:type="dxa"/>
            </w:tcMar>
            <w:vAlign w:val="center"/>
          </w:tcPr>
          <w:p>
            <w:pPr>
              <w:widowControl/>
              <w:spacing w:after="240"/>
              <w:ind w:left="105" w:leftChars="50" w:right="105" w:rightChars="50"/>
              <w:rPr>
                <w:rFonts w:hint="eastAsia" w:ascii="仿宋_GB2312" w:hAnsi="仿宋_GB2312" w:eastAsia="仿宋_GB2312"/>
                <w:sz w:val="24"/>
                <w:szCs w:val="24"/>
              </w:rPr>
            </w:pPr>
            <w:r>
              <w:rPr>
                <w:rFonts w:hint="eastAsia" w:ascii="仿宋_GB2312" w:hAnsi="仿宋_GB2312" w:eastAsia="仿宋_GB2312"/>
                <w:sz w:val="24"/>
                <w:szCs w:val="24"/>
              </w:rPr>
              <w:t>1.充分认识到游戏活动实验园建设的重要性，对于实验园建设的工作目标、任务及要求认识清晰。（1分）</w:t>
            </w:r>
            <w:r>
              <w:rPr>
                <w:rFonts w:hint="eastAsia" w:ascii="仿宋_GB2312" w:hAnsi="仿宋_GB2312" w:eastAsia="仿宋_GB2312"/>
                <w:sz w:val="24"/>
                <w:szCs w:val="24"/>
              </w:rPr>
              <w:br w:type="textWrapping"/>
            </w:r>
            <w:r>
              <w:rPr>
                <w:rFonts w:hint="eastAsia" w:ascii="仿宋_GB2312" w:hAnsi="仿宋_GB2312" w:eastAsia="仿宋_GB2312"/>
                <w:sz w:val="24"/>
                <w:szCs w:val="24"/>
              </w:rPr>
              <w:t>2.方案契合园所实际，能够聚焦在推进落实以游戏为基本活动的过程中存在的突出问题，制定切实可行的工作措施。（1分）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393"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B3.质量评估（4分）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C4.注重过程评估，评估方式灵活多样，有助于游戏质量提升。（4分）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1.建立常态化的评估机制，有效发挥评估的导向、激励作用，有针对性地引导教师不断进行反思调整，改进保育教育工作。（2分）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2.通过过程评估、自我评估、班级观察等方式，准确判断教师为促进幼儿学习与发展所做的努力与支持，全面、客观、真实地了解幼儿园游戏开展现状。（2分）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153" w:hRule="atLeast"/>
          <w:jc w:val="center"/>
        </w:trPr>
        <w:tc>
          <w:tcPr>
            <w:tcW w:w="1215"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A2.条件保障（10分）</w:t>
            </w:r>
          </w:p>
        </w:tc>
        <w:tc>
          <w:tcPr>
            <w:tcW w:w="1298" w:type="dxa"/>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B4.制度保障（5分）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C5.管理制度完善，落实到位。（5分）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1.教研、培训、评估、激励等各项制度健全完善，科学合理。（2分）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2.各项制度落实到位。（3分）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227"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1298" w:type="dxa"/>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B5.经费保障（5分）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C6.支持实验园建设的经费充足。（5分）</w:t>
            </w:r>
          </w:p>
        </w:tc>
        <w:tc>
          <w:tcPr>
            <w:tcW w:w="8689" w:type="dxa"/>
            <w:noWrap w:val="0"/>
            <w:tcMar>
              <w:top w:w="15" w:type="dxa"/>
              <w:left w:w="15" w:type="dxa"/>
              <w:right w:w="15" w:type="dxa"/>
            </w:tcMar>
            <w:vAlign w:val="center"/>
          </w:tcPr>
          <w:p>
            <w:pPr>
              <w:spacing w:before="2"/>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1.有支持实验园建设的经费，确保经费投入充足。（2分）</w:t>
            </w:r>
            <w:r>
              <w:rPr>
                <w:rFonts w:hint="eastAsia" w:ascii="仿宋_GB2312" w:hAnsi="仿宋_GB2312" w:eastAsia="仿宋_GB2312"/>
                <w:color w:val="000000"/>
                <w:kern w:val="0"/>
                <w:sz w:val="24"/>
                <w:szCs w:val="24"/>
              </w:rPr>
              <w:br w:type="textWrapping"/>
            </w:r>
            <w:r>
              <w:rPr>
                <w:rFonts w:hint="eastAsia" w:ascii="仿宋_GB2312" w:hAnsi="仿宋_GB2312" w:eastAsia="仿宋_GB2312"/>
                <w:color w:val="000000"/>
                <w:kern w:val="0"/>
                <w:sz w:val="24"/>
                <w:szCs w:val="24"/>
              </w:rPr>
              <w:t>2.经费能满足实验园在教师培训、园本教研、玩具材料及图画书配备、游戏场地改造等多方面的需求。（3分）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477" w:hRule="atLeast"/>
          <w:jc w:val="center"/>
        </w:trPr>
        <w:tc>
          <w:tcPr>
            <w:tcW w:w="1215"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A3.队伍建设（16分）</w:t>
            </w:r>
          </w:p>
        </w:tc>
        <w:tc>
          <w:tcPr>
            <w:tcW w:w="1298" w:type="dxa"/>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B6.教师培训（4分）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C7.培训机制健全，有效提升教师对游戏活动的支持能力。（4分）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1.将游戏专题培训纳入全年培训计划，能够为教师提供分层次、分类型的学习、进修机会。（2分）</w:t>
            </w:r>
            <w:r>
              <w:rPr>
                <w:rFonts w:hint="eastAsia" w:ascii="仿宋_GB2312" w:hAnsi="仿宋_GB2312" w:eastAsia="仿宋_GB2312"/>
                <w:color w:val="000000"/>
                <w:kern w:val="0"/>
                <w:sz w:val="24"/>
                <w:szCs w:val="24"/>
              </w:rPr>
              <w:br w:type="textWrapping"/>
            </w:r>
            <w:r>
              <w:rPr>
                <w:rFonts w:hint="eastAsia" w:ascii="仿宋_GB2312" w:hAnsi="仿宋_GB2312" w:eastAsia="仿宋_GB2312"/>
                <w:color w:val="000000"/>
                <w:kern w:val="0"/>
                <w:sz w:val="24"/>
                <w:szCs w:val="24"/>
              </w:rPr>
              <w:t>2.立足幼儿园实际，</w:t>
            </w:r>
            <w:r>
              <w:rPr>
                <w:rFonts w:hint="eastAsia" w:ascii="仿宋_GB2312" w:hAnsi="仿宋_GB2312" w:eastAsia="仿宋_GB2312"/>
                <w:sz w:val="24"/>
                <w:szCs w:val="24"/>
              </w:rPr>
              <w:t>定期组织培训，培训内容针对性强，培训方式灵活多样，培训效果突出。</w:t>
            </w:r>
            <w:r>
              <w:rPr>
                <w:rFonts w:hint="eastAsia" w:ascii="仿宋_GB2312" w:hAnsi="仿宋_GB2312" w:eastAsia="仿宋_GB2312"/>
                <w:color w:val="000000"/>
                <w:kern w:val="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193"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B7.教研支持（12分）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C8.教研制度健全，教研计划具体明确，教研效果明显。（6分）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1.教研制度健全合理，教研计划符合本园实际。（2分）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2.按时开展园本教研，每周不少于1次，每次不少于1小时。（2分）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3.积极参加区域教研，能够发挥示范引领作用。（2分）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2027"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C9.教研内容立足实际，教研形式灵活多样。（6分）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1.坚持问题导向，</w:t>
            </w:r>
            <w:r>
              <w:rPr>
                <w:rFonts w:hint="eastAsia" w:ascii="仿宋_GB2312" w:hAnsi="仿宋_GB2312" w:eastAsia="仿宋_GB2312"/>
                <w:sz w:val="24"/>
                <w:szCs w:val="24"/>
              </w:rPr>
              <w:t>能够聚焦幼儿园游戏实践，解决制约儿童发展、教师专业成长等方面的真问题。</w:t>
            </w:r>
            <w:r>
              <w:rPr>
                <w:rFonts w:hint="eastAsia" w:ascii="仿宋_GB2312" w:hAnsi="仿宋_GB2312" w:eastAsia="仿宋_GB2312"/>
                <w:color w:val="000000"/>
                <w:kern w:val="0"/>
                <w:sz w:val="24"/>
                <w:szCs w:val="24"/>
              </w:rPr>
              <w:t>（2分）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2.能根据教研目标和内容，灵活开展专题研讨、案例研究、现场诊断、线上线下相结合等多种形式的教研活动。（2分）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3.能积极吸纳高校专家、教研员、名园长、名师等园外教科研资源参与园本教研，充分发挥专家的引领作用。（2分）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2104" w:hRule="atLeast"/>
          <w:jc w:val="center"/>
        </w:trPr>
        <w:tc>
          <w:tcPr>
            <w:tcW w:w="1215" w:type="dxa"/>
            <w:vMerge w:val="restart"/>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A4.游戏活动质量（50分）</w:t>
            </w: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B8.游戏环境（14分）</w:t>
            </w:r>
          </w:p>
        </w:tc>
        <w:tc>
          <w:tcPr>
            <w:tcW w:w="298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C10.空间布局合理，设施设备安全环保，满足幼儿生活和游戏需要。（6分）</w:t>
            </w:r>
          </w:p>
        </w:tc>
        <w:tc>
          <w:tcPr>
            <w:tcW w:w="868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1.室内外空间布局规划科学合理，游戏环境生态、多元、开放、丰富、富有挑战性，能够最大限度地满足幼儿生活和游戏需要。（2分）</w:t>
            </w:r>
          </w:p>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2.各类设施设备安全、环保，符合幼儿的年龄特点，方便幼儿使用和取放，满足幼儿逐步增长的独立活动需要；提供必要的遮阳遮雨设施设备，确保特殊天气条件下幼儿必要的户外活动能正常开展。（2分）</w:t>
            </w:r>
          </w:p>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3.墙面环境创设高度适宜，互动性强，色调统一和谐，适当留白，利于幼儿自主管理，表达创造。（2分）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271"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298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C11.玩具材料和图画书数量充足、种类丰富，有效支持幼儿游戏活动开展。（4分）</w:t>
            </w:r>
          </w:p>
        </w:tc>
        <w:tc>
          <w:tcPr>
            <w:tcW w:w="868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1.玩具材料数量充足、种类丰富，以低结构材料为主，能随着幼儿的游戏进展和需要不断丰富和调整，保证多名幼儿同时游戏的需要。（2分）</w:t>
            </w:r>
          </w:p>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2.按标准配备图画书，人均不低于20册，每班复本量不超过5册。内容符合幼儿年龄特点和认知水平，注重体现中华优秀传统文化和现代生活特色，富有教育意义。（2分）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081"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298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C12.班级氛围宽松和谐，心理环境安全温馨。（4分）</w:t>
            </w:r>
          </w:p>
        </w:tc>
        <w:tc>
          <w:tcPr>
            <w:tcW w:w="868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1.教师情绪平和稳定、积极乐观，能够创设宽松和谐的班级氛围，为幼儿营造安全温馨的心理环境。（2分）</w:t>
            </w:r>
          </w:p>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2.幼儿在一日活动中情绪愉悦、从容自信，能放心大胆地表达真实情绪和不同观点，能按照自己的兴趣、节奏和方式进行游戏。（2分）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902"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B9.活动组织（8分）</w:t>
            </w:r>
          </w:p>
        </w:tc>
        <w:tc>
          <w:tcPr>
            <w:tcW w:w="298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C13.保教计划科学合理、切实可行。（2分）</w:t>
            </w:r>
          </w:p>
        </w:tc>
        <w:tc>
          <w:tcPr>
            <w:tcW w:w="868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1.结合本园、班实际，每学期、每周制定科学合理的保教计划，计划之间体现内在关联性，操作性强。（1分）</w:t>
            </w:r>
          </w:p>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2.计划实施过程中能根据班级和幼儿实际等进行调整与完善。（1分）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252"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continue"/>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Cs w:val="21"/>
              </w:rPr>
            </w:pPr>
          </w:p>
        </w:tc>
        <w:tc>
          <w:tcPr>
            <w:tcW w:w="298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C14.一日活动安排相对稳定合理，游戏活动时间充足。（2分）</w:t>
            </w:r>
          </w:p>
        </w:tc>
        <w:tc>
          <w:tcPr>
            <w:tcW w:w="868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1.一日活动安排有相对的稳定性，能满足幼儿各类活动的需要，避免时间安排碎片化和各环节频繁转换，避免幼儿消极等待。（1分）</w:t>
            </w:r>
            <w:r>
              <w:rPr>
                <w:rFonts w:hint="eastAsia" w:ascii="仿宋_GB2312" w:hAnsi="仿宋_GB2312" w:eastAsia="仿宋_GB2312"/>
                <w:color w:val="000000"/>
                <w:sz w:val="24"/>
                <w:szCs w:val="24"/>
              </w:rPr>
              <w:br w:type="textWrapping"/>
            </w:r>
            <w:r>
              <w:rPr>
                <w:rFonts w:hint="eastAsia" w:ascii="仿宋_GB2312" w:hAnsi="仿宋_GB2312" w:eastAsia="仿宋_GB2312"/>
                <w:color w:val="000000"/>
                <w:sz w:val="24"/>
                <w:szCs w:val="24"/>
              </w:rPr>
              <w:t>2.游戏活动时间充足，确保每天至少有1个小时的自主游戏时间，至少有1次机会可以连续进行45分钟以上的自主游戏。（1分）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203"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continue"/>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Cs w:val="21"/>
              </w:rPr>
            </w:pPr>
          </w:p>
        </w:tc>
        <w:tc>
          <w:tcPr>
            <w:tcW w:w="2981"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C15.注重游戏与课程的有机融合，发现和支持幼儿有意义的学习。（4分）</w:t>
            </w:r>
          </w:p>
        </w:tc>
        <w:tc>
          <w:tcPr>
            <w:tcW w:w="868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1.将游戏与课程有机融合，丰富和增强游戏活动的育人价值。（2分）</w:t>
            </w:r>
          </w:p>
          <w:p>
            <w:pPr>
              <w:keepNext w:val="0"/>
              <w:keepLines w:val="0"/>
              <w:pageBreakBefore w:val="0"/>
              <w:widowControl/>
              <w:kinsoku/>
              <w:wordWrap/>
              <w:overflowPunct/>
              <w:topLinePunct w:val="0"/>
              <w:autoSpaceDE/>
              <w:autoSpaceDN/>
              <w:bidi w:val="0"/>
              <w:adjustRightInd/>
              <w:snapToGrid/>
              <w:spacing w:line="280" w:lineRule="exact"/>
              <w:ind w:left="105" w:leftChars="50" w:right="105" w:rightChars="50"/>
              <w:textAlignment w:val="auto"/>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2.发现和支持幼儿有意义的学习，采用小组或集体的形式讨论幼儿感兴趣的话题，鼓励幼儿表达自己的观点，提出问题、分析解决问题，拓展提升幼儿日常生活和游戏中的经验。（2分）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603" w:hRule="atLeast"/>
          <w:jc w:val="center"/>
        </w:trPr>
        <w:tc>
          <w:tcPr>
            <w:tcW w:w="1215" w:type="dxa"/>
            <w:vMerge w:val="restart"/>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r>
              <w:rPr>
                <w:rFonts w:hint="eastAsia" w:ascii="仿宋_GB2312" w:hAnsi="仿宋_GB2312" w:eastAsia="仿宋_GB2312"/>
                <w:color w:val="000000"/>
                <w:kern w:val="0"/>
                <w:sz w:val="24"/>
                <w:szCs w:val="24"/>
              </w:rPr>
              <w:t>A4.游戏活动质量（50分）</w:t>
            </w:r>
          </w:p>
        </w:tc>
        <w:tc>
          <w:tcPr>
            <w:tcW w:w="1298" w:type="dxa"/>
            <w:vMerge w:val="restart"/>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r>
              <w:rPr>
                <w:rFonts w:hint="eastAsia" w:ascii="仿宋_GB2312" w:hAnsi="仿宋_GB2312" w:eastAsia="仿宋_GB2312"/>
                <w:color w:val="000000"/>
                <w:sz w:val="24"/>
                <w:szCs w:val="24"/>
              </w:rPr>
              <w:t>B10.师幼互动（20分）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C16.支持幼儿自主选择游戏材料、同伴和玩法，支持幼儿参与游戏活动中与自己有关的决策。</w:t>
            </w:r>
            <w:r>
              <w:rPr>
                <w:rFonts w:hint="eastAsia" w:ascii="仿宋_GB2312" w:hAnsi="仿宋_GB2312" w:eastAsia="仿宋_GB2312"/>
                <w:color w:val="000000"/>
                <w:sz w:val="24"/>
                <w:szCs w:val="24"/>
              </w:rPr>
              <w:t>（3分）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1.教师支持幼儿自主选择游戏材料、同伴和玩法，不对幼儿做硬性规定和要求，杜绝高控行为。</w:t>
            </w:r>
            <w:r>
              <w:rPr>
                <w:rFonts w:hint="eastAsia" w:ascii="仿宋_GB2312" w:hAnsi="仿宋_GB2312" w:eastAsia="仿宋_GB2312"/>
                <w:color w:val="000000"/>
                <w:sz w:val="24"/>
                <w:szCs w:val="24"/>
              </w:rPr>
              <w:t>（1分）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2.支持幼儿在游戏活动中能按照自己的兴趣、节奏和方式进行。</w:t>
            </w:r>
            <w:r>
              <w:rPr>
                <w:rFonts w:hint="eastAsia" w:ascii="仿宋_GB2312" w:hAnsi="仿宋_GB2312" w:eastAsia="仿宋_GB2312"/>
                <w:color w:val="00000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2389"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szCs w:val="21"/>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C17.认真观察幼儿在游戏中的行为表现并做必要记录，提供有针对性地支持。</w:t>
            </w:r>
            <w:r>
              <w:rPr>
                <w:rFonts w:hint="eastAsia" w:ascii="仿宋_GB2312" w:hAnsi="仿宋_GB2312" w:eastAsia="仿宋_GB2312"/>
                <w:color w:val="000000"/>
                <w:sz w:val="24"/>
                <w:szCs w:val="24"/>
              </w:rPr>
              <w:t>（5分）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1.教师能够认真观察幼儿在游戏活动中的行为表现，能对幼儿的活动过程和表现进行记录。不仅记录个别幼儿的精彩瞬间，更应关注幼儿的寻常时刻和真正需要支持或帮助的幼儿。</w:t>
            </w:r>
            <w:r>
              <w:rPr>
                <w:rFonts w:hint="eastAsia" w:ascii="仿宋_GB2312" w:hAnsi="仿宋_GB2312" w:eastAsia="仿宋_GB2312"/>
                <w:color w:val="000000"/>
                <w:sz w:val="24"/>
                <w:szCs w:val="24"/>
              </w:rPr>
              <w:t>（2分）</w:t>
            </w:r>
          </w:p>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2.教师在持续观察的基础上能够对幼儿的发展情况和需要进行客观、全面的分析，提供有针对性的支持，助推幼儿更好地学习和发展。</w:t>
            </w:r>
            <w:r>
              <w:rPr>
                <w:rFonts w:hint="eastAsia" w:ascii="仿宋_GB2312" w:hAnsi="仿宋_GB2312" w:eastAsia="仿宋_GB2312"/>
                <w:color w:val="000000"/>
                <w:sz w:val="24"/>
                <w:szCs w:val="24"/>
              </w:rPr>
              <w:t>（2分）</w:t>
            </w:r>
            <w:r>
              <w:rPr>
                <w:rFonts w:hint="eastAsia" w:ascii="仿宋_GB2312" w:hAnsi="仿宋_GB2312" w:eastAsia="仿宋_GB2312"/>
                <w:color w:val="000000"/>
                <w:kern w:val="0"/>
                <w:sz w:val="24"/>
                <w:szCs w:val="24"/>
                <w:lang w:bidi="ar"/>
              </w:rPr>
              <w:t xml:space="preserve"> </w:t>
            </w:r>
          </w:p>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3.教师在尚未理解幼儿的活动意图和想法时，不急于介入或干扰幼儿的活动，给幼儿的主动探索和学习留有足够空间。</w:t>
            </w:r>
            <w:r>
              <w:rPr>
                <w:rFonts w:hint="eastAsia" w:ascii="仿宋_GB2312" w:hAnsi="仿宋_GB2312" w:eastAsia="仿宋_GB2312"/>
                <w:color w:val="000000"/>
                <w:sz w:val="24"/>
                <w:szCs w:val="24"/>
              </w:rPr>
              <w:t>（1分）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331"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Cs w:val="21"/>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C18.重视幼儿对自己经历过的游戏活动进行表达表征，教师能一对一倾听并真实记录幼儿的想法和体验。</w:t>
            </w:r>
            <w:r>
              <w:rPr>
                <w:rFonts w:hint="eastAsia" w:ascii="仿宋_GB2312" w:hAnsi="仿宋_GB2312" w:eastAsia="仿宋_GB2312"/>
                <w:color w:val="000000"/>
                <w:sz w:val="24"/>
                <w:szCs w:val="24"/>
              </w:rPr>
              <w:t>（4分）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1.活动结束后，教师支持幼儿借助绘画、讲述、表演等方式对自己经历过的游戏活动进行表达表征。</w:t>
            </w:r>
            <w:r>
              <w:rPr>
                <w:rFonts w:hint="eastAsia" w:ascii="仿宋_GB2312" w:hAnsi="仿宋_GB2312" w:eastAsia="仿宋_GB2312"/>
                <w:color w:val="000000"/>
                <w:sz w:val="24"/>
                <w:szCs w:val="24"/>
              </w:rPr>
              <w:t>（2分）</w:t>
            </w:r>
          </w:p>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2.教师一对一倾听并真实记录幼儿的想法和体验，了解幼儿的思维方式和学习特点，把握幼儿的兴趣需要和发展水平，及时给予积极的鼓励、肯定等情感回应。</w:t>
            </w:r>
            <w:r>
              <w:rPr>
                <w:rFonts w:hint="eastAsia" w:ascii="仿宋_GB2312" w:hAnsi="仿宋_GB2312" w:eastAsia="仿宋_GB2312"/>
                <w:color w:val="00000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647"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Cs w:val="21"/>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C19.善于发现游戏活动中各种偶发的教育契机，及时给予有效支持。</w:t>
            </w:r>
            <w:r>
              <w:rPr>
                <w:rFonts w:hint="eastAsia" w:ascii="仿宋_GB2312" w:hAnsi="仿宋_GB2312" w:eastAsia="仿宋_GB2312"/>
                <w:color w:val="000000"/>
                <w:sz w:val="24"/>
                <w:szCs w:val="24"/>
              </w:rPr>
              <w:t>（4分）</w:t>
            </w:r>
          </w:p>
          <w:p>
            <w:pPr>
              <w:ind w:left="105" w:leftChars="50" w:right="105" w:rightChars="50"/>
              <w:rPr>
                <w:rFonts w:hint="eastAsia" w:ascii="仿宋_GB2312" w:hAnsi="仿宋_GB2312" w:eastAsia="仿宋_GB2312"/>
                <w:color w:val="000000"/>
                <w:kern w:val="0"/>
                <w:sz w:val="24"/>
                <w:szCs w:val="24"/>
              </w:rPr>
            </w:pP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1.教师能够发现游戏活动中幼儿感兴趣或有意义的问题和情境，找到其中的经验生长点，生成教育活动，支持和推动幼儿的深度学习。</w:t>
            </w:r>
            <w:r>
              <w:rPr>
                <w:rFonts w:hint="eastAsia" w:ascii="仿宋_GB2312" w:hAnsi="仿宋_GB2312" w:eastAsia="仿宋_GB2312"/>
                <w:color w:val="000000"/>
                <w:sz w:val="24"/>
                <w:szCs w:val="24"/>
              </w:rPr>
              <w:t>（2分）</w:t>
            </w:r>
          </w:p>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2.将品德启蒙教育有机渗透于游戏活动，挖掘游戏内容育人元素，捕捉游戏过程育人契机。</w:t>
            </w:r>
            <w:r>
              <w:rPr>
                <w:rFonts w:hint="eastAsia" w:ascii="仿宋_GB2312" w:hAnsi="仿宋_GB2312" w:eastAsia="仿宋_GB2312"/>
                <w:color w:val="00000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042"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kern w:val="0"/>
                <w:szCs w:val="21"/>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C20.尊重并回应幼儿的想法与问题，支持和拓展每一个幼儿的学习。</w:t>
            </w:r>
            <w:r>
              <w:rPr>
                <w:rFonts w:hint="eastAsia" w:ascii="仿宋_GB2312" w:hAnsi="仿宋_GB2312" w:eastAsia="仿宋_GB2312"/>
                <w:color w:val="000000"/>
                <w:sz w:val="24"/>
                <w:szCs w:val="24"/>
              </w:rPr>
              <w:t>（4分）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sz w:val="24"/>
                <w:szCs w:val="24"/>
              </w:rPr>
            </w:pPr>
            <w:r>
              <w:rPr>
                <w:rFonts w:hint="eastAsia" w:ascii="仿宋_GB2312" w:hAnsi="仿宋_GB2312" w:eastAsia="仿宋_GB2312"/>
                <w:color w:val="000000"/>
                <w:kern w:val="0"/>
                <w:sz w:val="24"/>
                <w:szCs w:val="24"/>
                <w:lang w:bidi="ar"/>
              </w:rPr>
              <w:t>1.教师尊重幼儿的想法和问题，从内心认可其价值，不敷衍或否定幼儿。</w:t>
            </w:r>
            <w:r>
              <w:rPr>
                <w:rFonts w:hint="eastAsia" w:ascii="仿宋_GB2312" w:hAnsi="仿宋_GB2312" w:eastAsia="仿宋_GB2312"/>
                <w:color w:val="000000"/>
                <w:sz w:val="24"/>
                <w:szCs w:val="24"/>
              </w:rPr>
              <w:t>（2分）</w:t>
            </w:r>
          </w:p>
          <w:p>
            <w:pPr>
              <w:widowControl/>
              <w:ind w:left="105" w:leftChars="50" w:right="105" w:rightChars="50"/>
              <w:rPr>
                <w:rFonts w:hint="eastAsia" w:ascii="仿宋_GB2312" w:hAnsi="仿宋_GB2312" w:eastAsia="仿宋_GB2312"/>
                <w:color w:val="000000"/>
                <w:kern w:val="0"/>
                <w:sz w:val="24"/>
                <w:szCs w:val="24"/>
                <w:lang w:bidi="ar"/>
              </w:rPr>
            </w:pPr>
            <w:r>
              <w:rPr>
                <w:rFonts w:hint="eastAsia" w:ascii="仿宋_GB2312" w:hAnsi="仿宋_GB2312" w:eastAsia="仿宋_GB2312"/>
                <w:color w:val="000000"/>
                <w:kern w:val="0"/>
                <w:sz w:val="24"/>
                <w:szCs w:val="24"/>
                <w:lang w:bidi="ar"/>
              </w:rPr>
              <w:t>2.教师通过开放性提问、推测、讨论等方式与幼儿展开积极有效的互动，同时鼓励和支持幼儿发起互动，最大化地支持和拓展每一个幼儿的学习。</w:t>
            </w:r>
            <w:r>
              <w:rPr>
                <w:rFonts w:hint="eastAsia" w:ascii="仿宋_GB2312" w:hAnsi="仿宋_GB2312" w:eastAsia="仿宋_GB2312"/>
                <w:color w:val="00000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750" w:hRule="atLeast"/>
          <w:jc w:val="center"/>
        </w:trPr>
        <w:tc>
          <w:tcPr>
            <w:tcW w:w="1215" w:type="dxa"/>
            <w:vMerge w:val="restart"/>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r>
              <w:rPr>
                <w:rFonts w:hint="eastAsia" w:ascii="仿宋_GB2312" w:hAnsi="仿宋_GB2312" w:eastAsia="仿宋_GB2312"/>
                <w:color w:val="000000"/>
                <w:kern w:val="0"/>
                <w:sz w:val="24"/>
                <w:szCs w:val="24"/>
              </w:rPr>
              <w:t>A4.游戏活动质量（50分）</w:t>
            </w: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B11.幼儿游戏表现（8分）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C21.幼儿在游戏活动中自由、自主、愉快、专注，愿意合作、交流、分享。（4分）</w:t>
            </w:r>
          </w:p>
        </w:tc>
        <w:tc>
          <w:tcPr>
            <w:tcW w:w="8689" w:type="dxa"/>
            <w:noWrap w:val="0"/>
            <w:tcMar>
              <w:top w:w="15" w:type="dxa"/>
              <w:left w:w="15" w:type="dxa"/>
              <w:right w:w="15" w:type="dxa"/>
            </w:tcMar>
            <w:vAlign w:val="center"/>
          </w:tcPr>
          <w:p>
            <w:pPr>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1.幼儿在游戏活动中自由、自主、情绪愉快，能够专注地投入游戏。（2分）</w:t>
            </w:r>
            <w:r>
              <w:rPr>
                <w:rFonts w:hint="eastAsia" w:ascii="仿宋_GB2312" w:hAnsi="仿宋_GB2312" w:eastAsia="仿宋_GB2312"/>
                <w:color w:val="000000"/>
                <w:kern w:val="0"/>
                <w:sz w:val="24"/>
                <w:szCs w:val="24"/>
              </w:rPr>
              <w:br w:type="textWrapping"/>
            </w:r>
            <w:r>
              <w:rPr>
                <w:rFonts w:hint="eastAsia" w:ascii="仿宋_GB2312" w:hAnsi="仿宋_GB2312" w:eastAsia="仿宋_GB2312"/>
                <w:color w:val="000000"/>
                <w:spacing w:val="-6"/>
                <w:kern w:val="0"/>
                <w:sz w:val="24"/>
                <w:szCs w:val="24"/>
              </w:rPr>
              <w:t>2.幼儿在游戏中主动与人交往，遵守游戏规则，愿意合作、交流、分享。（2分）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117"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 w:val="24"/>
                <w:szCs w:val="24"/>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C22.幼儿能创新游戏玩法，能自己想办法解决困难和问题。（4分）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1.幼儿在游戏中，愿意尝试有难度、有挑战性的材料和玩法，能够通过迁移已有的生活经验创造出新的玩法和活动。（2分）</w:t>
            </w:r>
            <w:r>
              <w:rPr>
                <w:rFonts w:hint="eastAsia" w:ascii="仿宋_GB2312" w:hAnsi="仿宋_GB2312" w:eastAsia="仿宋_GB2312"/>
                <w:color w:val="000000"/>
                <w:kern w:val="0"/>
                <w:sz w:val="24"/>
                <w:szCs w:val="24"/>
              </w:rPr>
              <w:br w:type="textWrapping"/>
            </w:r>
            <w:r>
              <w:rPr>
                <w:rFonts w:hint="eastAsia" w:ascii="仿宋_GB2312" w:hAnsi="仿宋_GB2312" w:eastAsia="仿宋_GB2312"/>
                <w:color w:val="000000"/>
                <w:kern w:val="0"/>
                <w:sz w:val="24"/>
                <w:szCs w:val="24"/>
              </w:rPr>
              <w:t>2.幼儿在游戏中能自己想办法解决困难和问题，必要时能够向同伴或教师寻求帮助。（2分）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012" w:hRule="atLeast"/>
          <w:jc w:val="center"/>
        </w:trPr>
        <w:tc>
          <w:tcPr>
            <w:tcW w:w="1215"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Cs w:val="21"/>
              </w:rPr>
            </w:pPr>
            <w:r>
              <w:rPr>
                <w:rFonts w:hint="eastAsia" w:ascii="仿宋_GB2312" w:hAnsi="仿宋_GB2312" w:eastAsia="仿宋_GB2312"/>
                <w:color w:val="000000"/>
                <w:kern w:val="0"/>
                <w:sz w:val="24"/>
                <w:szCs w:val="24"/>
              </w:rPr>
              <w:t>A5.示范引领（12分</w:t>
            </w:r>
            <w:r>
              <w:rPr>
                <w:rFonts w:hint="eastAsia" w:ascii="仿宋_GB2312" w:hAnsi="仿宋_GB2312" w:eastAsia="仿宋_GB2312"/>
                <w:color w:val="000000"/>
                <w:kern w:val="0"/>
                <w:szCs w:val="21"/>
              </w:rPr>
              <w:t>）</w:t>
            </w: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B12.成果成效（6分）</w:t>
            </w:r>
          </w:p>
        </w:tc>
        <w:tc>
          <w:tcPr>
            <w:tcW w:w="2981" w:type="dxa"/>
            <w:noWrap w:val="0"/>
            <w:tcMar>
              <w:top w:w="15" w:type="dxa"/>
              <w:left w:w="15" w:type="dxa"/>
              <w:right w:w="15" w:type="dxa"/>
            </w:tcMar>
            <w:vAlign w:val="center"/>
          </w:tcPr>
          <w:p>
            <w:pPr>
              <w:widowControl/>
              <w:ind w:left="345" w:leftChars="50" w:right="105" w:rightChars="50" w:hanging="240" w:hangingChars="10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C23.</w:t>
            </w:r>
            <w:r>
              <w:rPr>
                <w:rStyle w:val="11"/>
                <w:rFonts w:hint="eastAsia" w:ascii="仿宋_GB2312" w:hAnsi="仿宋_GB2312" w:eastAsia="仿宋_GB2312"/>
              </w:rPr>
              <w:t>幼儿获得全面和谐发展。</w:t>
            </w:r>
            <w:r>
              <w:rPr>
                <w:rFonts w:hint="eastAsia" w:ascii="仿宋_GB2312" w:hAnsi="仿宋_GB2312" w:eastAsia="仿宋_GB2312"/>
                <w:color w:val="000000"/>
                <w:kern w:val="0"/>
                <w:sz w:val="24"/>
                <w:szCs w:val="24"/>
              </w:rPr>
              <w:t>（2分）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幼儿在身心、生活、社会和学习等方面获得全面和谐发展，为其后继学习和终身发展奠定良好的素质基础。（2分）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715"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C24.教师的专业素养有效提升，教育教学成果丰富、成效显著。（4分）</w:t>
            </w:r>
          </w:p>
          <w:p>
            <w:pPr>
              <w:widowControl/>
              <w:ind w:left="105" w:leftChars="50" w:right="105" w:rightChars="50"/>
              <w:rPr>
                <w:rFonts w:hint="eastAsia" w:ascii="仿宋_GB2312" w:hAnsi="仿宋_GB2312" w:eastAsia="仿宋_GB2312"/>
                <w:color w:val="000000"/>
                <w:sz w:val="24"/>
                <w:szCs w:val="24"/>
              </w:rPr>
            </w:pPr>
          </w:p>
        </w:tc>
        <w:tc>
          <w:tcPr>
            <w:tcW w:w="8689" w:type="dxa"/>
            <w:noWrap w:val="0"/>
            <w:tcMar>
              <w:top w:w="15" w:type="dxa"/>
              <w:left w:w="15" w:type="dxa"/>
              <w:right w:w="15" w:type="dxa"/>
            </w:tcMar>
            <w:vAlign w:val="center"/>
          </w:tcPr>
          <w:p>
            <w:pPr>
              <w:ind w:left="105" w:leftChars="50" w:right="105" w:rightChars="50"/>
              <w:rPr>
                <w:rFonts w:hint="eastAsia" w:ascii="仿宋_GB2312" w:hAnsi="仿宋_GB2312" w:eastAsia="仿宋_GB2312"/>
                <w:bCs/>
                <w:color w:val="000000"/>
                <w:kern w:val="0"/>
                <w:sz w:val="24"/>
                <w:szCs w:val="24"/>
              </w:rPr>
            </w:pPr>
            <w:r>
              <w:rPr>
                <w:rFonts w:hint="eastAsia" w:ascii="仿宋_GB2312" w:hAnsi="仿宋_GB2312" w:eastAsia="仿宋_GB2312"/>
                <w:bCs/>
                <w:color w:val="000000"/>
                <w:kern w:val="0"/>
                <w:sz w:val="24"/>
                <w:szCs w:val="24"/>
              </w:rPr>
              <w:t>1.教师观察、记录、解读、支持幼儿游戏活动的能力有效提升</w:t>
            </w:r>
            <w:r>
              <w:rPr>
                <w:rFonts w:hint="eastAsia" w:ascii="仿宋_GB2312" w:hAnsi="仿宋_GB2312" w:eastAsia="仿宋_GB2312"/>
                <w:sz w:val="24"/>
                <w:szCs w:val="24"/>
              </w:rPr>
              <w:t>，能对游戏活动过程进行教研与反思，针对存在的问题提出改进思路。</w:t>
            </w:r>
            <w:r>
              <w:rPr>
                <w:rFonts w:hint="eastAsia" w:ascii="仿宋_GB2312" w:hAnsi="仿宋_GB2312" w:eastAsia="仿宋_GB2312"/>
                <w:color w:val="000000"/>
                <w:kern w:val="0"/>
                <w:sz w:val="24"/>
                <w:szCs w:val="24"/>
              </w:rPr>
              <w:t>（2分）</w:t>
            </w:r>
          </w:p>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2.近年来有一定数量的以游戏为主题的市级及以上课题，或有一定数量的文章在报刊、杂志上发表，或有高质量的游戏案例或先进的游戏活动组织经验在市级及以上教研活动中交流分享。（2分）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403"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restart"/>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szCs w:val="21"/>
              </w:rPr>
            </w:pPr>
            <w:r>
              <w:rPr>
                <w:rFonts w:hint="eastAsia" w:ascii="仿宋_GB2312" w:hAnsi="仿宋_GB2312" w:eastAsia="仿宋_GB2312"/>
                <w:color w:val="000000"/>
                <w:sz w:val="24"/>
                <w:szCs w:val="24"/>
              </w:rPr>
              <w:t>B13.辐射带动（6分）</w:t>
            </w: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C25.每年主动同幼儿园结对帮扶，主动承担县（市、区）及以上的交流活动。（4分）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1.至少与3处以上薄弱幼儿园结对，定期开展帮扶活动，效果显著，每学期不少于1次。（2分）</w:t>
            </w:r>
            <w:r>
              <w:rPr>
                <w:rFonts w:hint="eastAsia" w:ascii="仿宋_GB2312" w:hAnsi="仿宋_GB2312" w:eastAsia="仿宋_GB2312"/>
                <w:color w:val="000000"/>
                <w:kern w:val="0"/>
                <w:sz w:val="24"/>
                <w:szCs w:val="24"/>
              </w:rPr>
              <w:br w:type="textWrapping"/>
            </w:r>
            <w:r>
              <w:rPr>
                <w:rFonts w:hint="eastAsia" w:ascii="仿宋_GB2312" w:hAnsi="仿宋_GB2312" w:eastAsia="仿宋_GB2312"/>
                <w:color w:val="000000"/>
                <w:kern w:val="0"/>
                <w:sz w:val="24"/>
                <w:szCs w:val="24"/>
              </w:rPr>
              <w:t>2.承担县（市、区）及以上的示范性、研究性专题报告、现场观摩、跟进指导以及经验分享活动。（2分）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70" w:type="dxa"/>
            <w:bottom w:w="0" w:type="dxa"/>
            <w:right w:w="170" w:type="dxa"/>
          </w:tblCellMar>
        </w:tblPrEx>
        <w:trPr>
          <w:trHeight w:val="1085" w:hRule="atLeast"/>
          <w:jc w:val="center"/>
        </w:trPr>
        <w:tc>
          <w:tcPr>
            <w:tcW w:w="1215" w:type="dxa"/>
            <w:vMerge w:val="continue"/>
            <w:noWrap w:val="0"/>
            <w:tcMar>
              <w:top w:w="15" w:type="dxa"/>
              <w:left w:w="15" w:type="dxa"/>
              <w:right w:w="15" w:type="dxa"/>
            </w:tcMar>
            <w:vAlign w:val="center"/>
          </w:tcPr>
          <w:p>
            <w:pPr>
              <w:ind w:left="105" w:leftChars="50" w:right="105" w:rightChars="50"/>
              <w:jc w:val="left"/>
              <w:rPr>
                <w:rFonts w:hint="eastAsia" w:ascii="仿宋_GB2312" w:hAnsi="仿宋_GB2312" w:eastAsia="仿宋_GB2312"/>
                <w:color w:val="000000"/>
                <w:szCs w:val="21"/>
              </w:rPr>
            </w:pPr>
          </w:p>
        </w:tc>
        <w:tc>
          <w:tcPr>
            <w:tcW w:w="1298" w:type="dxa"/>
            <w:vMerge w:val="continue"/>
            <w:noWrap w:val="0"/>
            <w:tcMar>
              <w:top w:w="15" w:type="dxa"/>
              <w:left w:w="15" w:type="dxa"/>
              <w:right w:w="15" w:type="dxa"/>
            </w:tcMar>
            <w:vAlign w:val="center"/>
          </w:tcPr>
          <w:p>
            <w:pPr>
              <w:widowControl/>
              <w:ind w:left="105" w:leftChars="50" w:right="105" w:rightChars="50"/>
              <w:jc w:val="left"/>
              <w:rPr>
                <w:rFonts w:hint="eastAsia" w:ascii="仿宋_GB2312" w:hAnsi="仿宋_GB2312" w:eastAsia="仿宋_GB2312"/>
                <w:color w:val="000000"/>
                <w:szCs w:val="21"/>
              </w:rPr>
            </w:pPr>
          </w:p>
        </w:tc>
        <w:tc>
          <w:tcPr>
            <w:tcW w:w="2981"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C26.多途径、多形式引领家长转变育儿观念，提升育儿水平。（2分）</w:t>
            </w:r>
          </w:p>
        </w:tc>
        <w:tc>
          <w:tcPr>
            <w:tcW w:w="8689" w:type="dxa"/>
            <w:noWrap w:val="0"/>
            <w:tcMar>
              <w:top w:w="15" w:type="dxa"/>
              <w:left w:w="15" w:type="dxa"/>
              <w:right w:w="15" w:type="dxa"/>
            </w:tcMar>
            <w:vAlign w:val="center"/>
          </w:tcPr>
          <w:p>
            <w:pPr>
              <w:widowControl/>
              <w:ind w:left="105" w:leftChars="50" w:right="105" w:rightChars="50"/>
              <w:rPr>
                <w:rFonts w:hint="eastAsia" w:ascii="仿宋_GB2312" w:hAnsi="仿宋_GB2312" w:eastAsia="仿宋_GB2312"/>
                <w:color w:val="000000"/>
                <w:kern w:val="0"/>
                <w:sz w:val="24"/>
                <w:szCs w:val="24"/>
              </w:rPr>
            </w:pPr>
            <w:r>
              <w:rPr>
                <w:rFonts w:hint="eastAsia" w:ascii="仿宋_GB2312" w:hAnsi="仿宋_GB2312" w:eastAsia="仿宋_GB2312"/>
                <w:color w:val="000000"/>
                <w:kern w:val="0"/>
                <w:sz w:val="24"/>
                <w:szCs w:val="24"/>
              </w:rPr>
              <w:t>积极构建协同育人机制，通过家长学校、家长会、开放日等活动，引领家长认同游戏对幼儿发展的价值，树立科学育儿理念，提升育儿水平。（2分）</w:t>
            </w:r>
          </w:p>
        </w:tc>
      </w:tr>
    </w:tbl>
    <w:p>
      <w:pPr>
        <w:keepNext w:val="0"/>
        <w:keepLines w:val="0"/>
        <w:pageBreakBefore w:val="0"/>
        <w:widowControl w:val="0"/>
        <w:shd w:val="clear" w:color="000000" w:fill="auto"/>
        <w:kinsoku/>
        <w:wordWrap/>
        <w:overflowPunct/>
        <w:topLinePunct w:val="0"/>
        <w:autoSpaceDE/>
        <w:autoSpaceDN/>
        <w:bidi w:val="0"/>
        <w:adjustRightInd w:val="0"/>
        <w:snapToGrid w:val="0"/>
        <w:spacing w:line="20" w:lineRule="exact"/>
        <w:jc w:val="both"/>
        <w:textAlignment w:val="auto"/>
        <w:rPr>
          <w:rFonts w:hint="eastAsia" w:ascii="方正小标宋_GBK" w:hAnsi="方正小标宋_GBK" w:eastAsia="方正小标宋_GBK" w:cs="方正小标宋_GBK"/>
          <w:color w:val="000000"/>
          <w:sz w:val="44"/>
        </w:rPr>
      </w:pPr>
    </w:p>
    <w:sectPr>
      <w:footerReference r:id="rId5" w:type="first"/>
      <w:footerReference r:id="rId3" w:type="default"/>
      <w:footerReference r:id="rId4" w:type="even"/>
      <w:pgSz w:w="16838" w:h="11906" w:orient="landscape"/>
      <w:pgMar w:top="1531" w:right="2041" w:bottom="1531" w:left="1985" w:header="851" w:footer="124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00"/>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315" w:leftChars="150" w:right="315" w:rightChars="15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18</w:t>
    </w:r>
    <w:r>
      <w:rPr>
        <w:rStyle w:val="9"/>
        <w:sz w:val="28"/>
        <w:szCs w:val="28"/>
      </w:rPr>
      <w:fldChar w:fldCharType="end"/>
    </w:r>
    <w:r>
      <w:rPr>
        <w:rStyle w:val="9"/>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left="210" w:leftChars="100" w:right="210" w:rightChars="100"/>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E1AED"/>
    <w:rsid w:val="000102C3"/>
    <w:rsid w:val="00091282"/>
    <w:rsid w:val="000D1704"/>
    <w:rsid w:val="000F6019"/>
    <w:rsid w:val="001331E3"/>
    <w:rsid w:val="001414E6"/>
    <w:rsid w:val="00150F26"/>
    <w:rsid w:val="00167D58"/>
    <w:rsid w:val="001A1AD1"/>
    <w:rsid w:val="001B3585"/>
    <w:rsid w:val="001F444B"/>
    <w:rsid w:val="002675B8"/>
    <w:rsid w:val="00295935"/>
    <w:rsid w:val="0032220F"/>
    <w:rsid w:val="003340EC"/>
    <w:rsid w:val="00360658"/>
    <w:rsid w:val="003751E7"/>
    <w:rsid w:val="003F186A"/>
    <w:rsid w:val="0040787C"/>
    <w:rsid w:val="004255E8"/>
    <w:rsid w:val="004575BE"/>
    <w:rsid w:val="00461822"/>
    <w:rsid w:val="004B0A45"/>
    <w:rsid w:val="004D73FC"/>
    <w:rsid w:val="004F3958"/>
    <w:rsid w:val="004F7B85"/>
    <w:rsid w:val="0050349A"/>
    <w:rsid w:val="0052423E"/>
    <w:rsid w:val="00544492"/>
    <w:rsid w:val="00556BBC"/>
    <w:rsid w:val="00584E26"/>
    <w:rsid w:val="00585162"/>
    <w:rsid w:val="005A16A3"/>
    <w:rsid w:val="005A25FA"/>
    <w:rsid w:val="005C41F8"/>
    <w:rsid w:val="00666697"/>
    <w:rsid w:val="006833BA"/>
    <w:rsid w:val="006B5CE2"/>
    <w:rsid w:val="006C2E79"/>
    <w:rsid w:val="006C2FB5"/>
    <w:rsid w:val="0071780E"/>
    <w:rsid w:val="00726544"/>
    <w:rsid w:val="007E30A8"/>
    <w:rsid w:val="0081034F"/>
    <w:rsid w:val="008A5A73"/>
    <w:rsid w:val="00905158"/>
    <w:rsid w:val="009102BE"/>
    <w:rsid w:val="00957444"/>
    <w:rsid w:val="00985EEB"/>
    <w:rsid w:val="009B2EAC"/>
    <w:rsid w:val="009C7207"/>
    <w:rsid w:val="009D186D"/>
    <w:rsid w:val="00A31DCE"/>
    <w:rsid w:val="00A55E34"/>
    <w:rsid w:val="00A925CA"/>
    <w:rsid w:val="00AB0B58"/>
    <w:rsid w:val="00AB0DE0"/>
    <w:rsid w:val="00AC6124"/>
    <w:rsid w:val="00AE28A8"/>
    <w:rsid w:val="00B60FB2"/>
    <w:rsid w:val="00B6591F"/>
    <w:rsid w:val="00B6715F"/>
    <w:rsid w:val="00B83F06"/>
    <w:rsid w:val="00B86524"/>
    <w:rsid w:val="00C446A0"/>
    <w:rsid w:val="00CE0CA6"/>
    <w:rsid w:val="00CF149C"/>
    <w:rsid w:val="00D020AE"/>
    <w:rsid w:val="00D9315B"/>
    <w:rsid w:val="00DF4B5E"/>
    <w:rsid w:val="00E1604F"/>
    <w:rsid w:val="00E53C59"/>
    <w:rsid w:val="00E635A2"/>
    <w:rsid w:val="00E80D7A"/>
    <w:rsid w:val="00EA46A6"/>
    <w:rsid w:val="00EC6D84"/>
    <w:rsid w:val="00EE16D6"/>
    <w:rsid w:val="00F55CD2"/>
    <w:rsid w:val="00F74267"/>
    <w:rsid w:val="00F74392"/>
    <w:rsid w:val="00FA30E9"/>
    <w:rsid w:val="00FA5E8E"/>
    <w:rsid w:val="07D66E44"/>
    <w:rsid w:val="0E44681E"/>
    <w:rsid w:val="173A42B9"/>
    <w:rsid w:val="2BFF4898"/>
    <w:rsid w:val="2E665EAE"/>
    <w:rsid w:val="30D01440"/>
    <w:rsid w:val="367D4C50"/>
    <w:rsid w:val="4AE247BB"/>
    <w:rsid w:val="536A79AF"/>
    <w:rsid w:val="60644AE0"/>
    <w:rsid w:val="66FE1AED"/>
    <w:rsid w:val="6CC849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sz w:val="32"/>
      <w:szCs w:val="20"/>
    </w:r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font31"/>
    <w:qFormat/>
    <w:uiPriority w:val="0"/>
    <w:rPr>
      <w:rFonts w:hint="eastAsia" w:ascii="宋体" w:hAnsi="宋体" w:eastAsia="宋体" w:cs="宋体"/>
      <w:color w:val="000000"/>
      <w:sz w:val="22"/>
      <w:szCs w:val="22"/>
      <w:u w:val="none"/>
    </w:rPr>
  </w:style>
  <w:style w:type="character" w:customStyle="1" w:styleId="11">
    <w:name w:val="font71"/>
    <w:qFormat/>
    <w:uiPriority w:val="0"/>
    <w:rPr>
      <w:rFonts w:ascii="Times New Roman" w:hAnsi="Times New Roman" w:eastAsia="宋体"/>
      <w:color w:val="000000"/>
      <w:sz w:val="24"/>
      <w:szCs w:val="24"/>
      <w:u w:val="none"/>
    </w:rPr>
  </w:style>
  <w:style w:type="character" w:customStyle="1" w:styleId="12">
    <w:name w:val="font51"/>
    <w:qFormat/>
    <w:uiPriority w:val="0"/>
    <w:rPr>
      <w:rFonts w:hint="default" w:ascii="方正仿宋_GB2312" w:hAnsi="方正仿宋_GB2312" w:eastAsia="方正仿宋_GB2312" w:cs="方正仿宋_GB2312"/>
      <w:color w:val="000000"/>
      <w:sz w:val="24"/>
      <w:szCs w:val="24"/>
      <w:u w:val="none"/>
    </w:rPr>
  </w:style>
  <w:style w:type="paragraph" w:customStyle="1" w:styleId="13">
    <w:name w:val="批注文字1"/>
    <w:basedOn w:val="1"/>
    <w:qFormat/>
    <w:uiPriority w:val="0"/>
    <w:pPr>
      <w:jc w:val="left"/>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945;X&#20989;&#12308;&#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鲁教X函〔〕号.dot</Template>
  <Pages>5</Pages>
  <Words>3803</Words>
  <Characters>3980</Characters>
  <Lines>1</Lines>
  <Paragraphs>1</Paragraphs>
  <TotalTime>2</TotalTime>
  <ScaleCrop>false</ScaleCrop>
  <LinksUpToDate>false</LinksUpToDate>
  <CharactersWithSpaces>3981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2024-05-11T01:11:00Z</dcterms:created>
  <dc:creator>文印1</dc:creator>
  <cp:lastModifiedBy>玖號 </cp:lastModifiedBy>
  <dcterms:modified xsi:type="dcterms:W3CDTF">2024-05-13T06:11:51Z</dcterms:modified>
  <dc:title>山东省教育厅</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24D600CF5EDF4D6F99601EFC5D80D21E</vt:lpwstr>
  </property>
</Properties>
</file>